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pStyle w:val="4"/>
        <w:spacing w:before="0" w:beforeAutospacing="0" w:after="0" w:afterAutospacing="0"/>
        <w:jc w:val="center"/>
        <w:rPr>
          <w:rFonts w:ascii="仿宋_GB2312" w:hAnsi="黑体" w:eastAsia="仿宋_GB2312" w:cs="黑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上海市绿色生态城区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（试点）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评估指标体系</w:t>
      </w:r>
    </w:p>
    <w:tbl>
      <w:tblPr>
        <w:tblStyle w:val="5"/>
        <w:tblW w:w="13948" w:type="dxa"/>
        <w:jc w:val="center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7"/>
        <w:gridCol w:w="1816"/>
        <w:gridCol w:w="1134"/>
        <w:gridCol w:w="1701"/>
        <w:gridCol w:w="4678"/>
        <w:gridCol w:w="992"/>
        <w:gridCol w:w="1560"/>
        <w:gridCol w:w="1620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tblHeader/>
          <w:jc w:val="center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仿宋_GB2312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仿宋_GB2312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1"/>
                <w:szCs w:val="21"/>
              </w:rPr>
              <w:t>大类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仿宋_GB2312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1"/>
                <w:szCs w:val="21"/>
              </w:rPr>
              <w:t>小类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仿宋_GB2312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1"/>
                <w:szCs w:val="21"/>
              </w:rPr>
              <w:t>指标内容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仿宋_GB2312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1"/>
                <w:szCs w:val="21"/>
              </w:rPr>
              <w:t>评分标准说明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仿宋_GB2312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1"/>
                <w:szCs w:val="21"/>
              </w:rPr>
              <w:t>自评分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仿宋_GB2312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1"/>
                <w:szCs w:val="21"/>
              </w:rPr>
              <w:t>自评说明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仿宋_GB2312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1"/>
                <w:szCs w:val="21"/>
              </w:rPr>
              <w:t>证明材料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18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管理</w:t>
            </w:r>
          </w:p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（2</w:t>
            </w:r>
            <w:r>
              <w:rPr>
                <w:rFonts w:ascii="仿宋_GB2312" w:hAnsi="Times New Roman" w:eastAsia="仿宋_GB2312" w:cs="Times New Roman"/>
                <w:sz w:val="21"/>
                <w:szCs w:val="21"/>
              </w:rPr>
              <w:t>0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一、组织领导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绿色生态城区建设工作推进框架和目标责任评价考核情况（5分）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形成绿色生态城区建设工作组织管理推进体系，并定期推进，得2分；</w:t>
            </w:r>
          </w:p>
          <w:p>
            <w:pPr>
              <w:pStyle w:val="4"/>
              <w:spacing w:before="0" w:beforeAutospacing="0" w:after="0" w:afterAutospacing="0" w:line="200" w:lineRule="atLeast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设置绿色生态城区建设推进机构，且明确相应的职责，得2分；</w:t>
            </w:r>
          </w:p>
          <w:p>
            <w:pPr>
              <w:pStyle w:val="4"/>
              <w:spacing w:before="0" w:beforeAutospacing="0" w:after="0" w:afterAutospacing="0" w:line="200" w:lineRule="atLeast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将绿色生态城区建设目标任务纳入区域有关责任评价考核体系，得1分。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18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二、管控实施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绿色生态城区建设管控（1</w:t>
            </w:r>
            <w:r>
              <w:rPr>
                <w:rFonts w:ascii="仿宋_GB2312" w:hAnsi="Times New Roman" w:eastAsia="仿宋_GB2312" w:cs="Times New Roman"/>
                <w:sz w:val="21"/>
                <w:szCs w:val="21"/>
              </w:rPr>
              <w:t>0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分）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制定绿色生态城区建设管控办法，得3分；</w:t>
            </w:r>
          </w:p>
          <w:p>
            <w:pPr>
              <w:pStyle w:val="4"/>
              <w:spacing w:before="0" w:beforeAutospacing="0" w:after="0" w:afterAutospacing="0" w:line="200" w:lineRule="atLeast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在项目立项、土地出让或划拨、设计方案审核、施工图设计文件审查、竣工验收等环节，对相关绿色生态指标和方案实施管控，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每个环节得1分，最多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得</w:t>
            </w:r>
            <w:r>
              <w:rPr>
                <w:rFonts w:ascii="仿宋_GB2312" w:hAnsi="Times New Roman" w:eastAsia="仿宋_GB2312" w:cs="Times New Roman"/>
                <w:sz w:val="21"/>
                <w:szCs w:val="21"/>
              </w:rPr>
              <w:t>5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分；</w:t>
            </w:r>
          </w:p>
          <w:p>
            <w:pPr>
              <w:pStyle w:val="4"/>
              <w:spacing w:before="0" w:beforeAutospacing="0" w:after="0" w:afterAutospacing="0" w:line="200" w:lineRule="atLeast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近期重点工程项目按计划推进实施，得2分。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3</w:t>
            </w:r>
          </w:p>
        </w:tc>
        <w:tc>
          <w:tcPr>
            <w:tcW w:w="18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三、宣传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after="0" w:line="200" w:lineRule="atLeast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加强宣传（</w:t>
            </w:r>
            <w:r>
              <w:rPr>
                <w:rFonts w:ascii="仿宋_GB2312" w:hAnsi="Times New Roman" w:eastAsia="仿宋_GB2312" w:cs="Times New Roman"/>
                <w:sz w:val="21"/>
                <w:szCs w:val="21"/>
              </w:rPr>
              <w:t>5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分）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组织绿色低碳、生态相关的宣传活动，得</w:t>
            </w:r>
            <w:r>
              <w:rPr>
                <w:rFonts w:ascii="仿宋_GB2312" w:hAnsi="Times New Roman" w:eastAsia="仿宋_GB2312" w:cs="Times New Roman"/>
                <w:sz w:val="21"/>
                <w:szCs w:val="21"/>
              </w:rPr>
              <w:t>5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分。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394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1"/>
                <w:szCs w:val="21"/>
              </w:rPr>
              <w:t>管理项得XX分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4</w:t>
            </w:r>
          </w:p>
        </w:tc>
        <w:tc>
          <w:tcPr>
            <w:tcW w:w="181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技术</w:t>
            </w:r>
          </w:p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（70分,</w:t>
            </w:r>
            <w:r>
              <w:rPr>
                <w:rFonts w:hint="eastAsia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21"/>
                <w:szCs w:val="21"/>
              </w:rPr>
              <w:t>原未得分项以不参评计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四、土地开发</w:t>
            </w:r>
          </w:p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（10分）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after="0" w:line="200" w:lineRule="atLeast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土地集约利用（6分）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采用公共交通导向的开发模式，并符合申报要求，得2分；</w:t>
            </w:r>
          </w:p>
          <w:p>
            <w:pPr>
              <w:pStyle w:val="4"/>
              <w:spacing w:before="0" w:beforeAutospacing="0" w:after="0" w:afterAutospacing="0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功能混合街坊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eastAsia="zh-CN"/>
              </w:rPr>
              <w:t>符合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申报要求，得2分；</w:t>
            </w:r>
          </w:p>
          <w:p>
            <w:pPr>
              <w:pStyle w:val="4"/>
              <w:spacing w:before="0" w:beforeAutospacing="0" w:after="0" w:afterAutospacing="0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合理开发利用地下空间，并符合申报要求，得2分。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5</w:t>
            </w:r>
          </w:p>
        </w:tc>
        <w:tc>
          <w:tcPr>
            <w:tcW w:w="18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公共空间和服务设施（4分）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both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建设公共开放空间，服务半径覆盖率达到申报要求，得2分；</w:t>
            </w:r>
          </w:p>
          <w:p>
            <w:pPr>
              <w:pStyle w:val="4"/>
              <w:spacing w:before="0" w:beforeAutospacing="0" w:after="0" w:afterAutospacing="0" w:line="200" w:lineRule="atLeast"/>
              <w:jc w:val="both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建设幼儿园、小学、中学、养老设施、商业服务设施等公共服务设施，服务半径符合申报要求，得2分。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6</w:t>
            </w:r>
          </w:p>
        </w:tc>
        <w:tc>
          <w:tcPr>
            <w:tcW w:w="18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五、绿色交通</w:t>
            </w:r>
          </w:p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（8分）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道路系统（3分）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道路系统合理，机动车道、非机动车道、人行道等通行空间合理，得3分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7</w:t>
            </w:r>
          </w:p>
        </w:tc>
        <w:tc>
          <w:tcPr>
            <w:tcW w:w="18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公共交通系统（3分）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轨道交通站点600m用地覆盖率或公交站点500m覆盖率达到申报要求，得3分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8</w:t>
            </w:r>
          </w:p>
        </w:tc>
        <w:tc>
          <w:tcPr>
            <w:tcW w:w="18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慢行交通系统（2分）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建设慢行交通系统，步行和自行车系统连续、安全、舒适，得2分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9</w:t>
            </w:r>
          </w:p>
        </w:tc>
        <w:tc>
          <w:tcPr>
            <w:tcW w:w="18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六、绿色建筑</w:t>
            </w:r>
          </w:p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（14分）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绿色建筑、健康建筑、超低能耗建筑等（14分）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二星级及以上绿色建筑面积符合申报要求，得10分；</w:t>
            </w:r>
          </w:p>
          <w:p>
            <w:pPr>
              <w:pStyle w:val="4"/>
              <w:spacing w:before="0" w:beforeAutospacing="0" w:after="0" w:afterAutospacing="0" w:line="200" w:lineRule="atLeast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健康建筑或超低能耗建筑面积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eastAsia="zh-CN"/>
              </w:rPr>
              <w:t>符合申报要求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，得4分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ascii="仿宋_GB2312" w:hAnsi="Times New Roman" w:eastAsia="仿宋_GB2312" w:cs="Times New Roman"/>
                <w:sz w:val="21"/>
                <w:szCs w:val="21"/>
              </w:rPr>
              <w:t>0</w:t>
            </w:r>
          </w:p>
        </w:tc>
        <w:tc>
          <w:tcPr>
            <w:tcW w:w="18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七、生态建设与环境保护（</w:t>
            </w:r>
            <w:r>
              <w:rPr>
                <w:rFonts w:ascii="仿宋_GB2312" w:hAnsi="Times New Roman" w:eastAsia="仿宋_GB2312" w:cs="Times New Roman"/>
                <w:sz w:val="21"/>
                <w:szCs w:val="21"/>
              </w:rPr>
              <w:t>9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分）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生态建设（</w:t>
            </w:r>
            <w:r>
              <w:rPr>
                <w:rFonts w:ascii="仿宋_GB2312" w:hAnsi="Times New Roman" w:eastAsia="仿宋_GB2312" w:cs="Times New Roman"/>
                <w:sz w:val="21"/>
                <w:szCs w:val="21"/>
              </w:rPr>
              <w:t>5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分）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建筑、市政公用设施等合理采用立体绿化，符合申报要求，得</w:t>
            </w:r>
            <w:r>
              <w:rPr>
                <w:rFonts w:ascii="仿宋_GB2312" w:hAnsi="Times New Roman" w:eastAsia="仿宋_GB2312" w:cs="Times New Roman"/>
                <w:sz w:val="21"/>
                <w:szCs w:val="21"/>
              </w:rPr>
              <w:t>2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11</w:t>
            </w:r>
          </w:p>
        </w:tc>
        <w:tc>
          <w:tcPr>
            <w:tcW w:w="18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采用低影响开发模式，设置绿色雨水基础设施，并控制雨水径流对受纳水体的污染，年径流总量控制率和年径流污染控制率符合申报要求，得</w:t>
            </w:r>
            <w:r>
              <w:rPr>
                <w:rFonts w:ascii="仿宋_GB2312" w:hAnsi="Times New Roman" w:eastAsia="仿宋_GB2312" w:cs="Times New Roman"/>
                <w:sz w:val="21"/>
                <w:szCs w:val="21"/>
              </w:rPr>
              <w:t>3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12</w:t>
            </w:r>
          </w:p>
        </w:tc>
        <w:tc>
          <w:tcPr>
            <w:tcW w:w="18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环境保护（4分）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建筑及市政项目施工扬尘符合规定，得2分；</w:t>
            </w:r>
          </w:p>
          <w:p>
            <w:pPr>
              <w:pStyle w:val="4"/>
              <w:spacing w:before="0" w:beforeAutospacing="0" w:after="0" w:afterAutospacing="0" w:line="200" w:lineRule="atLeast"/>
              <w:rPr>
                <w:rFonts w:ascii="仿宋_GB2312" w:hAnsi="Times New Roman" w:eastAsia="仿宋_GB2312" w:cs="Times New Roman"/>
                <w:sz w:val="21"/>
                <w:szCs w:val="21"/>
                <w:u w:val="single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城区内污染场地得到有效的修复治理，得2分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13</w:t>
            </w:r>
          </w:p>
        </w:tc>
        <w:tc>
          <w:tcPr>
            <w:tcW w:w="18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八、低碳能源与资源</w:t>
            </w:r>
          </w:p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（1</w:t>
            </w:r>
            <w:r>
              <w:rPr>
                <w:rFonts w:ascii="仿宋_GB2312" w:hAnsi="Times New Roman" w:eastAsia="仿宋_GB2312" w:cs="Times New Roman"/>
                <w:sz w:val="21"/>
                <w:szCs w:val="21"/>
              </w:rPr>
              <w:t>2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可再生能源利用（4分）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合理规模化利用可再生能源，利用率达到申报要求，得4分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ascii="仿宋_GB2312" w:hAnsi="Times New Roman" w:eastAsia="仿宋_GB2312" w:cs="Times New Roman"/>
                <w:sz w:val="21"/>
                <w:szCs w:val="21"/>
              </w:rPr>
              <w:t>4</w:t>
            </w:r>
          </w:p>
        </w:tc>
        <w:tc>
          <w:tcPr>
            <w:tcW w:w="18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区域能源系统（2分）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both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设置集成应用可再生能源的区域能源系统，得2分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hint="eastAsia" w:ascii="仿宋_GB2312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水资源利用（3分）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both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合理利用非传统水源，得3分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hint="eastAsia" w:ascii="仿宋_GB2312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固废资源利用（3分）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both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建筑垃圾资源化利用率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建筑废弃混凝土再生建材的替代使用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eastAsia="zh-CN"/>
              </w:rPr>
              <w:t>符合申报要求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，得3分。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hint="eastAsia" w:ascii="仿宋_GB2312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仿宋_GB2312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智慧管理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（7分）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智慧系统建设（</w:t>
            </w:r>
            <w:r>
              <w:rPr>
                <w:rFonts w:ascii="仿宋_GB2312" w:hAnsi="Times New Roman" w:eastAsia="仿宋_GB2312" w:cs="Times New Roman"/>
                <w:sz w:val="21"/>
                <w:szCs w:val="21"/>
              </w:rPr>
              <w:t>7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分）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both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实行环境质量信息化监测和管理，得</w:t>
            </w:r>
            <w:r>
              <w:rPr>
                <w:rFonts w:ascii="仿宋_GB2312" w:hAnsi="Times New Roman" w:eastAsia="仿宋_GB2312" w:cs="Times New Roman"/>
                <w:sz w:val="21"/>
                <w:szCs w:val="21"/>
              </w:rPr>
              <w:t>3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分；</w:t>
            </w:r>
          </w:p>
          <w:p>
            <w:pPr>
              <w:pStyle w:val="4"/>
              <w:spacing w:before="0" w:beforeAutospacing="0" w:after="0" w:afterAutospacing="0" w:line="200" w:lineRule="atLeast"/>
              <w:jc w:val="both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实行交通智能化管理系统，得2分；</w:t>
            </w:r>
          </w:p>
          <w:p>
            <w:pPr>
              <w:pStyle w:val="4"/>
              <w:spacing w:before="0" w:beforeAutospacing="0" w:after="0" w:afterAutospacing="0" w:line="200" w:lineRule="atLeast"/>
              <w:jc w:val="both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城区企业体现绿色社会责任感，得</w:t>
            </w:r>
            <w:r>
              <w:rPr>
                <w:rFonts w:ascii="仿宋_GB2312" w:hAnsi="Times New Roman" w:eastAsia="仿宋_GB2312" w:cs="Times New Roman"/>
                <w:sz w:val="21"/>
                <w:szCs w:val="21"/>
              </w:rPr>
              <w:t>2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分。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hint="eastAsia" w:ascii="仿宋_GB2312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仿宋_GB2312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8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十、产业与绿色经济（10分）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产业准入（</w:t>
            </w:r>
            <w:r>
              <w:rPr>
                <w:rFonts w:ascii="仿宋_GB2312" w:hAnsi="Times New Roman" w:eastAsia="仿宋_GB2312" w:cs="Times New Roman"/>
                <w:sz w:val="21"/>
                <w:szCs w:val="21"/>
              </w:rPr>
              <w:t>5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分）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产业用地的投资强度符合《上海市产业用地指南》，得</w:t>
            </w:r>
            <w:r>
              <w:rPr>
                <w:rFonts w:ascii="仿宋_GB2312" w:hAnsi="Times New Roman" w:eastAsia="仿宋_GB2312" w:cs="Times New Roman"/>
                <w:sz w:val="21"/>
                <w:szCs w:val="21"/>
              </w:rPr>
              <w:t>5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hint="default" w:ascii="仿宋_GB2312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8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产业结构（</w:t>
            </w:r>
            <w:r>
              <w:rPr>
                <w:rFonts w:ascii="仿宋_GB2312" w:hAnsi="Times New Roman" w:eastAsia="仿宋_GB2312" w:cs="Times New Roman"/>
                <w:sz w:val="21"/>
                <w:szCs w:val="21"/>
              </w:rPr>
              <w:t>5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分）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both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城区有较强竞争力且符合循环经济发展理念的主导产业，区位熵符合申报要求，得</w:t>
            </w:r>
            <w:r>
              <w:rPr>
                <w:rFonts w:ascii="仿宋_GB2312" w:hAnsi="Times New Roman" w:eastAsia="仿宋_GB2312" w:cs="Times New Roman"/>
                <w:sz w:val="21"/>
                <w:szCs w:val="21"/>
              </w:rPr>
              <w:t>5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1394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技术项总分7</w:t>
            </w:r>
            <w:r>
              <w:rPr>
                <w:rFonts w:ascii="仿宋_GB2312" w:hAnsi="Times New Roman" w:eastAsia="仿宋_GB2312" w:cs="Times New Roman"/>
                <w:b/>
                <w:bCs/>
                <w:szCs w:val="21"/>
              </w:rPr>
              <w:t>0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  <w:t>，得分项共XX，不参评项共XX，折算得XX分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2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资金</w:t>
            </w:r>
          </w:p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（</w:t>
            </w:r>
            <w:r>
              <w:rPr>
                <w:rFonts w:ascii="仿宋_GB2312" w:hAnsi="Times New Roman" w:eastAsia="仿宋_GB2312" w:cs="Times New Roman"/>
                <w:sz w:val="21"/>
                <w:szCs w:val="21"/>
              </w:rPr>
              <w:t>10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分）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五、资金落实和保障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落实绿色生态建设资金，并建立相关资金保障机制（</w:t>
            </w:r>
            <w:r>
              <w:rPr>
                <w:rFonts w:ascii="仿宋_GB2312" w:hAnsi="Times New Roman" w:eastAsia="仿宋_GB2312" w:cs="Times New Roman"/>
                <w:sz w:val="21"/>
                <w:szCs w:val="21"/>
              </w:rPr>
              <w:t>10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分）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both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绿色生态相关建设资金落实到位，得</w:t>
            </w:r>
            <w:r>
              <w:rPr>
                <w:rFonts w:ascii="仿宋_GB2312" w:hAnsi="Times New Roman" w:eastAsia="仿宋_GB2312" w:cs="Times New Roman"/>
                <w:sz w:val="21"/>
                <w:szCs w:val="21"/>
              </w:rPr>
              <w:t>4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分；</w:t>
            </w:r>
          </w:p>
          <w:p>
            <w:pPr>
              <w:pStyle w:val="4"/>
              <w:spacing w:before="0" w:beforeAutospacing="0" w:after="0" w:afterAutospacing="0" w:line="200" w:lineRule="atLeast"/>
              <w:jc w:val="both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制定资金筹措保障措施，得</w:t>
            </w:r>
            <w:r>
              <w:rPr>
                <w:rFonts w:ascii="仿宋_GB2312" w:hAnsi="Times New Roman" w:eastAsia="仿宋_GB2312" w:cs="Times New Roman"/>
                <w:sz w:val="21"/>
                <w:szCs w:val="21"/>
              </w:rPr>
              <w:t>3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分；</w:t>
            </w:r>
          </w:p>
          <w:p>
            <w:pPr>
              <w:pStyle w:val="4"/>
              <w:spacing w:before="0" w:beforeAutospacing="0" w:after="0" w:afterAutospacing="0" w:line="200" w:lineRule="atLeast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设立绿色发展专项资金，得</w:t>
            </w:r>
            <w:r>
              <w:rPr>
                <w:rFonts w:ascii="仿宋_GB2312" w:hAnsi="Times New Roman" w:eastAsia="仿宋_GB2312" w:cs="Times New Roman"/>
                <w:sz w:val="21"/>
                <w:szCs w:val="21"/>
              </w:rPr>
              <w:t>3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分。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  <w:jc w:val="center"/>
        </w:trPr>
        <w:tc>
          <w:tcPr>
            <w:tcW w:w="1394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1"/>
                <w:szCs w:val="21"/>
              </w:rPr>
              <w:t>资金项得XX分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2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1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加分项</w:t>
            </w:r>
          </w:p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</w:rPr>
              <w:t>（20分</w:t>
            </w:r>
            <w:r>
              <w:rPr>
                <w:rFonts w:ascii="Times New Roman" w:hAnsi="Times New Roman"/>
                <w:sz w:val="21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区域碳减排目标、对标及核算情况（5分）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明确碳减排目标以及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实施路径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，加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分；</w:t>
            </w:r>
          </w:p>
          <w:p>
            <w:pPr>
              <w:pStyle w:val="4"/>
              <w:spacing w:before="0" w:beforeAutospacing="0" w:after="0" w:afterAutospacing="0" w:line="20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编制城区碳排放清单，加1分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pStyle w:val="4"/>
              <w:spacing w:before="0" w:beforeAutospacing="0" w:after="0" w:afterAutospacing="0" w:line="20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开展基于能耗监测系统的城区碳排放核算，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加1分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pStyle w:val="4"/>
              <w:spacing w:before="0" w:beforeAutospacing="0" w:after="0" w:afterAutospacing="0" w:line="200" w:lineRule="atLeast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提供本区域碳排放指标优于国内外同类区域的相关支撑依据，加1分；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hint="default" w:ascii="仿宋_GB2312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ascii="仿宋_GB2312" w:hAnsi="Times New Roman" w:eastAsia="仿宋_GB2312" w:cs="Times New Roman"/>
                <w:sz w:val="21"/>
                <w:szCs w:val="21"/>
              </w:rPr>
              <w:t>2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16" w:type="dxa"/>
            <w:vMerge w:val="continue"/>
            <w:tcBorders>
              <w:left w:val="nil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探索出台绿色低碳发展机制（2分）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制定并推行城区绿色低碳发展机制，如企业碳交易、公众参与等政策，1项加1分，最多2分。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ascii="仿宋_GB2312" w:hAnsi="Times New Roman" w:eastAsia="仿宋_GB2312" w:cs="Times New Roman"/>
                <w:sz w:val="21"/>
                <w:szCs w:val="21"/>
              </w:rPr>
              <w:t>2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16" w:type="dxa"/>
            <w:vMerge w:val="continue"/>
            <w:tcBorders>
              <w:left w:val="nil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区域能源综合利用（3分）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城区开展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光储直柔建筑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试点，1个得1分；</w:t>
            </w:r>
          </w:p>
          <w:p>
            <w:pPr>
              <w:pStyle w:val="4"/>
              <w:spacing w:before="0" w:beforeAutospacing="0" w:after="0" w:afterAutospacing="0" w:line="20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通过虚拟电厂等方式进行综合能源调度，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1个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分；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ascii="仿宋_GB2312" w:hAnsi="Times New Roman" w:eastAsia="仿宋_GB2312" w:cs="Times New Roman"/>
                <w:sz w:val="21"/>
                <w:szCs w:val="21"/>
              </w:rPr>
              <w:t>2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16" w:type="dxa"/>
            <w:vMerge w:val="continue"/>
            <w:tcBorders>
              <w:left w:val="nil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低碳建筑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分）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城区开展近零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能耗建筑、零碳建筑试点，1个得1分，最多得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ascii="仿宋_GB2312" w:hAnsi="Times New Roman" w:eastAsia="仿宋_GB2312" w:cs="Times New Roman"/>
                <w:sz w:val="21"/>
                <w:szCs w:val="21"/>
              </w:rPr>
              <w:t>2</w:t>
            </w: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16" w:type="dxa"/>
            <w:vMerge w:val="continue"/>
            <w:tcBorders>
              <w:left w:val="nil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智能建造（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分）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城区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打造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智能建造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试点项目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，1个得1分，最多得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hint="default" w:ascii="仿宋_GB2312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816" w:type="dxa"/>
            <w:vMerge w:val="continue"/>
            <w:tcBorders>
              <w:left w:val="nil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绿色低碳创新技术应用（2分）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开展绿色低碳创新技术应用，1项创新技术加1分，最多2分。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center"/>
              <w:rPr>
                <w:rFonts w:hint="default" w:ascii="仿宋_GB2312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8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国际合作（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分）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 w:line="200" w:lineRule="atLeas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开展绿色低碳项目国际合作，得1分；</w:t>
            </w:r>
          </w:p>
          <w:p>
            <w:pPr>
              <w:pStyle w:val="4"/>
              <w:spacing w:before="0" w:beforeAutospacing="0" w:after="0" w:afterAutospacing="0" w:line="200" w:lineRule="atLeast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举办重大国际性应对气候变化和节能低碳发展论坛，加1分。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394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1"/>
                <w:szCs w:val="21"/>
              </w:rPr>
              <w:t>加分项得XX分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3948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1"/>
                <w:szCs w:val="21"/>
              </w:rPr>
              <w:t>合计：XX分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  <w:sectPr>
          <w:footerReference r:id="rId3" w:type="default"/>
          <w:pgSz w:w="16838" w:h="11906" w:orient="landscape"/>
          <w:pgMar w:top="1701" w:right="1440" w:bottom="1701" w:left="1440" w:header="851" w:footer="1417" w:gutter="0"/>
          <w:pgNumType w:fmt="decimal" w:start="5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>2</w:t>
      </w:r>
    </w:p>
    <w:p>
      <w:pP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</w:pPr>
    </w:p>
    <w:p>
      <w:pPr>
        <w:pStyle w:val="4"/>
        <w:spacing w:before="0" w:beforeAutospacing="0" w:after="0" w:afterAutospacing="0"/>
        <w:ind w:firstLine="540"/>
        <w:jc w:val="center"/>
        <w:rPr>
          <w:rFonts w:hint="eastAsia" w:ascii="仿宋_GB2312" w:hAnsi="仿宋_GB2312" w:eastAsia="仿宋_GB2312" w:cs="仿宋_GB2312"/>
          <w:color w:val="auto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上海市绿色生态城区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（试点）自查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报告大纲</w:t>
      </w:r>
    </w:p>
    <w:p>
      <w:pPr>
        <w:pStyle w:val="4"/>
        <w:spacing w:before="0" w:beforeAutospacing="0" w:after="0" w:afterAutospacing="0" w:line="600" w:lineRule="exact"/>
        <w:ind w:firstLine="54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ind w:firstLine="54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一、基本情况</w:t>
      </w:r>
    </w:p>
    <w:p>
      <w:pPr>
        <w:pStyle w:val="4"/>
        <w:spacing w:before="0" w:beforeAutospacing="0" w:after="0" w:afterAutospacing="0" w:line="600" w:lineRule="exact"/>
        <w:ind w:firstLine="5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 试点项目概况（地理位置、面积，范围内的构成情况）</w:t>
      </w:r>
    </w:p>
    <w:p>
      <w:pPr>
        <w:pStyle w:val="4"/>
        <w:spacing w:before="0" w:beforeAutospacing="0" w:after="0" w:afterAutospacing="0" w:line="600" w:lineRule="exact"/>
        <w:ind w:firstLine="5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 试点项目创建以来建设进度，总体成效（包括总体目标和相关指标完成进度，填写附表a）</w:t>
      </w:r>
    </w:p>
    <w:p>
      <w:pPr>
        <w:pStyle w:val="4"/>
        <w:spacing w:before="0" w:beforeAutospacing="0" w:after="0" w:afterAutospacing="0" w:line="600" w:lineRule="exact"/>
        <w:ind w:firstLine="5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3. 试点项目未来3年重点项目实施计划，填写附表b </w:t>
      </w:r>
    </w:p>
    <w:p>
      <w:pPr>
        <w:pStyle w:val="4"/>
        <w:spacing w:before="0" w:beforeAutospacing="0" w:after="0" w:afterAutospacing="0" w:line="600" w:lineRule="exact"/>
        <w:ind w:firstLine="54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二、绿色生态任务落实与成效</w:t>
      </w:r>
    </w:p>
    <w:p>
      <w:pPr>
        <w:pStyle w:val="4"/>
        <w:spacing w:before="0" w:beforeAutospacing="0" w:after="0" w:afterAutospacing="0" w:line="600" w:lineRule="exact"/>
        <w:ind w:firstLine="5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结合绿色生态城区建设方案，总结各项绿色生态内容的做法及取得的进展成效。</w:t>
      </w:r>
    </w:p>
    <w:p>
      <w:pPr>
        <w:pStyle w:val="4"/>
        <w:spacing w:before="0" w:beforeAutospacing="0" w:after="0" w:afterAutospacing="0" w:line="600" w:lineRule="exact"/>
        <w:ind w:firstLine="54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三、基础工作与能力建设</w:t>
      </w:r>
    </w:p>
    <w:p>
      <w:pPr>
        <w:pStyle w:val="4"/>
        <w:spacing w:before="0" w:beforeAutospacing="0" w:after="0" w:afterAutospacing="0" w:line="600" w:lineRule="exact"/>
        <w:ind w:firstLine="5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 管理组织形式（工作推进框架与目标责任考核情况）</w:t>
      </w:r>
    </w:p>
    <w:p>
      <w:pPr>
        <w:pStyle w:val="4"/>
        <w:spacing w:before="0" w:beforeAutospacing="0" w:after="0" w:afterAutospacing="0" w:line="600" w:lineRule="exact"/>
        <w:ind w:firstLine="5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 主要创新措施或机制创新情况</w:t>
      </w:r>
    </w:p>
    <w:p>
      <w:pPr>
        <w:pStyle w:val="4"/>
        <w:spacing w:before="0" w:beforeAutospacing="0" w:after="0" w:afterAutospacing="0" w:line="600" w:lineRule="exact"/>
        <w:ind w:firstLine="5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 宣传培训</w:t>
      </w:r>
    </w:p>
    <w:p>
      <w:pPr>
        <w:pStyle w:val="4"/>
        <w:spacing w:before="0" w:beforeAutospacing="0" w:after="0" w:afterAutospacing="0" w:line="600" w:lineRule="exact"/>
        <w:ind w:firstLine="54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四、发展经验和后续工作</w:t>
      </w:r>
    </w:p>
    <w:p>
      <w:pPr>
        <w:pStyle w:val="4"/>
        <w:spacing w:before="0" w:beforeAutospacing="0" w:after="0" w:afterAutospacing="0" w:line="600" w:lineRule="exact"/>
        <w:ind w:firstLine="5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 总结可供全市推广的绿色生态发展经验</w:t>
      </w:r>
    </w:p>
    <w:p>
      <w:pPr>
        <w:pStyle w:val="4"/>
        <w:spacing w:before="0" w:beforeAutospacing="0" w:after="0" w:afterAutospacing="0" w:line="600" w:lineRule="exact"/>
        <w:ind w:firstLine="5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 下一步深化试点绿色生态发展的工作考虑</w:t>
      </w:r>
    </w:p>
    <w:p>
      <w:pPr>
        <w:pStyle w:val="4"/>
        <w:spacing w:before="0" w:beforeAutospacing="0" w:after="0" w:afterAutospacing="0" w:line="600" w:lineRule="exact"/>
        <w:ind w:firstLine="54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五、工作建议</w:t>
      </w:r>
    </w:p>
    <w:p>
      <w:pPr>
        <w:pStyle w:val="4"/>
        <w:spacing w:before="0" w:beforeAutospacing="0" w:after="0" w:afterAutospacing="0" w:line="600" w:lineRule="exact"/>
        <w:ind w:firstLine="5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基于建设过程中面临的问题和挑战，提出希望市级层面在推动试点方面制定出台的配套政策建议。</w:t>
      </w:r>
    </w:p>
    <w:p>
      <w:pPr>
        <w:pStyle w:val="7"/>
        <w:spacing w:line="600" w:lineRule="exact"/>
        <w:ind w:firstLine="0" w:firstLineChars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sectPr>
          <w:pgSz w:w="11906" w:h="16838"/>
          <w:pgMar w:top="1440" w:right="1800" w:bottom="1440" w:left="1800" w:header="851" w:footer="1417" w:gutter="0"/>
          <w:pgNumType w:fmt="decimal"/>
          <w:cols w:space="425" w:num="1"/>
          <w:docGrid w:type="lines" w:linePitch="312" w:charSpace="0"/>
        </w:sectPr>
      </w:pPr>
    </w:p>
    <w:p>
      <w:pPr>
        <w:pStyle w:val="7"/>
        <w:spacing w:line="600" w:lineRule="exact"/>
        <w:ind w:firstLine="0" w:firstLineChars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附表a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20XX-202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年重点建设项目实施情况（20XX为获得绿色生态城区试点称号时间）</w:t>
      </w:r>
    </w:p>
    <w:tbl>
      <w:tblPr>
        <w:tblStyle w:val="5"/>
        <w:tblW w:w="14552" w:type="dxa"/>
        <w:jc w:val="center"/>
        <w:tblBorders>
          <w:top w:val="single" w:color="2B2B2B" w:sz="4" w:space="0"/>
          <w:left w:val="single" w:color="2B2B2B" w:sz="4" w:space="0"/>
          <w:bottom w:val="single" w:color="2B2B2B" w:sz="4" w:space="0"/>
          <w:right w:val="single" w:color="2B2B2B" w:sz="4" w:space="0"/>
          <w:insideH w:val="single" w:color="2B2B2B" w:sz="4" w:space="0"/>
          <w:insideV w:val="single" w:color="2B2B2B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058"/>
        <w:gridCol w:w="1058"/>
        <w:gridCol w:w="1917"/>
        <w:gridCol w:w="1134"/>
        <w:gridCol w:w="4036"/>
        <w:gridCol w:w="2653"/>
        <w:gridCol w:w="1495"/>
      </w:tblGrid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25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项目规模</w:t>
            </w:r>
          </w:p>
        </w:tc>
        <w:tc>
          <w:tcPr>
            <w:tcW w:w="403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建设实施情况</w:t>
            </w:r>
          </w:p>
        </w:tc>
        <w:tc>
          <w:tcPr>
            <w:tcW w:w="265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运行情况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实施单位</w:t>
            </w:r>
          </w:p>
        </w:tc>
      </w:tr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市政工程建设项目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道路工程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403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11" w:firstLineChars="196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5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403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11" w:firstLineChars="196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5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1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公园绿地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403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ind w:firstLine="411" w:firstLineChars="196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5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1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河道水系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403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ind w:firstLine="411" w:firstLineChars="196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5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1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地下管线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403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5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1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能源站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403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5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1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……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403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5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1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地块工程建设项目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住宅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403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5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1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……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403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5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其他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403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5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</w:tbl>
    <w:p>
      <w:pPr>
        <w:shd w:val="clear"/>
        <w:rPr>
          <w:rFonts w:hint="eastAsia" w:ascii="仿宋_GB2312" w:hAnsi="仿宋_GB2312" w:eastAsia="仿宋_GB2312" w:cs="仿宋_GB2312"/>
        </w:rPr>
      </w:pPr>
    </w:p>
    <w:p>
      <w:pPr>
        <w:shd w:val="clear"/>
        <w:rPr>
          <w:rFonts w:hint="eastAsia" w:ascii="仿宋_GB2312" w:hAnsi="仿宋_GB2312" w:eastAsia="仿宋_GB2312" w:cs="仿宋_GB2312"/>
          <w:b/>
          <w:bCs/>
          <w:sz w:val="28"/>
          <w:szCs w:val="32"/>
        </w:rPr>
        <w:sectPr>
          <w:footerReference r:id="rId4" w:type="default"/>
          <w:pgSz w:w="16838" w:h="11906" w:orient="landscape"/>
          <w:pgMar w:top="1800" w:right="1440" w:bottom="1800" w:left="1440" w:header="851" w:footer="1701" w:gutter="0"/>
          <w:pgNumType w:fmt="decimal" w:start="10"/>
          <w:cols w:space="425" w:num="1"/>
          <w:docGrid w:type="lines" w:linePitch="312" w:charSpace="0"/>
        </w:sectPr>
      </w:pPr>
    </w:p>
    <w:p>
      <w:pPr>
        <w:shd w:val="clear"/>
        <w:rPr>
          <w:rFonts w:hint="eastAsia" w:ascii="仿宋_GB2312" w:hAnsi="仿宋_GB2312" w:eastAsia="仿宋_GB2312" w:cs="仿宋_GB2312"/>
          <w:b w:val="0"/>
          <w:bCs w:val="0"/>
          <w:sz w:val="28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6"/>
        </w:rPr>
        <w:t>附表b</w:t>
      </w:r>
    </w:p>
    <w:p>
      <w:pPr>
        <w:shd w:val="clear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年重点项目实施计划</w:t>
      </w:r>
    </w:p>
    <w:tbl>
      <w:tblPr>
        <w:tblStyle w:val="5"/>
        <w:tblW w:w="14552" w:type="dxa"/>
        <w:jc w:val="center"/>
        <w:tblBorders>
          <w:top w:val="single" w:color="2B2B2B" w:sz="4" w:space="0"/>
          <w:left w:val="single" w:color="2B2B2B" w:sz="4" w:space="0"/>
          <w:bottom w:val="single" w:color="2B2B2B" w:sz="4" w:space="0"/>
          <w:right w:val="single" w:color="2B2B2B" w:sz="4" w:space="0"/>
          <w:insideH w:val="single" w:color="2B2B2B" w:sz="4" w:space="0"/>
          <w:insideV w:val="single" w:color="2B2B2B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058"/>
        <w:gridCol w:w="1058"/>
        <w:gridCol w:w="1917"/>
        <w:gridCol w:w="1134"/>
        <w:gridCol w:w="4036"/>
        <w:gridCol w:w="2653"/>
        <w:gridCol w:w="1495"/>
      </w:tblGrid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259" w:type="dxa"/>
            <w:gridSpan w:val="2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项目规模</w:t>
            </w:r>
          </w:p>
        </w:tc>
        <w:tc>
          <w:tcPr>
            <w:tcW w:w="403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主要建设内容</w:t>
            </w:r>
          </w:p>
        </w:tc>
        <w:tc>
          <w:tcPr>
            <w:tcW w:w="265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实施计划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实施单位</w:t>
            </w:r>
          </w:p>
        </w:tc>
      </w:tr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市政工程建设项目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道路工程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403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11" w:firstLineChars="196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5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5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403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11" w:firstLineChars="196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5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园林绿化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403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11" w:firstLineChars="196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5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河道水系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403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11" w:firstLineChars="196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5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地下管线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403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5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能源站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403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5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……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403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5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地块工程建设项目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住宅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403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5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……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403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5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2B2B2B" w:sz="4" w:space="0"/>
            <w:left w:val="single" w:color="2B2B2B" w:sz="4" w:space="0"/>
            <w:bottom w:val="single" w:color="2B2B2B" w:sz="4" w:space="0"/>
            <w:right w:val="single" w:color="2B2B2B" w:sz="4" w:space="0"/>
            <w:insideH w:val="single" w:color="2B2B2B" w:sz="4" w:space="0"/>
            <w:insideV w:val="single" w:color="2B2B2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其他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9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403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65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181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298AFF"/>
    <w:multiLevelType w:val="singleLevel"/>
    <w:tmpl w:val="FC298AFF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E6E2B8"/>
    <w:rsid w:val="07F7AD22"/>
    <w:rsid w:val="167D6557"/>
    <w:rsid w:val="1EFF0DE6"/>
    <w:rsid w:val="2C875055"/>
    <w:rsid w:val="2CBE798A"/>
    <w:rsid w:val="356D590A"/>
    <w:rsid w:val="3B9CDD24"/>
    <w:rsid w:val="4A7420CB"/>
    <w:rsid w:val="4E9EF542"/>
    <w:rsid w:val="57F3D524"/>
    <w:rsid w:val="5C65BCF8"/>
    <w:rsid w:val="5E6E36F9"/>
    <w:rsid w:val="6BDF2FCA"/>
    <w:rsid w:val="6FBBEA7E"/>
    <w:rsid w:val="6FFFABE2"/>
    <w:rsid w:val="7DBD9BEA"/>
    <w:rsid w:val="7DD51865"/>
    <w:rsid w:val="7EDF1917"/>
    <w:rsid w:val="7FB31780"/>
    <w:rsid w:val="9C6F51DA"/>
    <w:rsid w:val="BFBE5588"/>
    <w:rsid w:val="C8FF19BE"/>
    <w:rsid w:val="DEF19058"/>
    <w:rsid w:val="DFDCB0E0"/>
    <w:rsid w:val="DFFCC51E"/>
    <w:rsid w:val="E7ABA087"/>
    <w:rsid w:val="EBDCB4B7"/>
    <w:rsid w:val="EBDF54A3"/>
    <w:rsid w:val="FBDF602A"/>
    <w:rsid w:val="FDE6E2B8"/>
    <w:rsid w:val="FFBE782C"/>
    <w:rsid w:val="FFF244B7"/>
    <w:rsid w:val="FFFBF157"/>
    <w:rsid w:val="FFFE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2024-06-27T16:40:00Z</dcterms:created>
  <dc:creator>姜浩东:办公室核稿</dc:creator>
  <cp:lastModifiedBy>熊樱:套红</cp:lastModifiedBy>
  <cp:lastPrinted>2024-07-01T10:20:30Z</cp:lastPrinted>
  <dcterms:modified xsi:type="dcterms:W3CDTF">2024-07-01T10:21:34Z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