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bCs/>
          <w:sz w:val="32"/>
          <w:szCs w:val="32"/>
        </w:rPr>
      </w:pPr>
      <w:r>
        <w:rPr>
          <w:rFonts w:hint="eastAsia" w:ascii="黑体" w:hAnsi="黑体" w:eastAsia="黑体" w:cs="黑体"/>
          <w:bCs/>
          <w:sz w:val="32"/>
          <w:szCs w:val="32"/>
        </w:rPr>
        <w:t>附件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简体" w:hAnsi="华文中宋" w:eastAsia="方正小标宋简体"/>
          <w:bCs/>
          <w:sz w:val="40"/>
          <w:szCs w:val="40"/>
        </w:rPr>
      </w:pPr>
    </w:p>
    <w:p>
      <w:pPr>
        <w:widowControl/>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上海市燃气行业安全排查整治专项方案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rPr>
          <w:rFonts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b w:val="0"/>
          <w:bCs w:val="0"/>
          <w:spacing w:val="0"/>
          <w:sz w:val="32"/>
          <w:szCs w:val="32"/>
        </w:rPr>
      </w:pPr>
      <w:r>
        <w:rPr>
          <w:rFonts w:hint="eastAsia" w:ascii="仿宋_GB2312" w:hAnsi="仿宋" w:eastAsia="仿宋_GB2312"/>
          <w:b w:val="0"/>
          <w:bCs w:val="0"/>
          <w:spacing w:val="0"/>
          <w:sz w:val="32"/>
          <w:szCs w:val="32"/>
        </w:rPr>
        <w:t>为贯彻落实国务院安委办《全国城镇燃气安全排查整治工作方案》（安委</w:t>
      </w:r>
      <w:r>
        <w:rPr>
          <w:rFonts w:hint="eastAsia" w:ascii="仿宋_GB2312" w:hAnsi="仿宋_GB2312" w:eastAsia="仿宋_GB2312" w:cs="仿宋_GB2312"/>
          <w:b w:val="0"/>
          <w:bCs w:val="0"/>
          <w:spacing w:val="0"/>
          <w:sz w:val="32"/>
          <w:szCs w:val="32"/>
        </w:rPr>
        <w:t>〔</w:t>
      </w:r>
      <w:r>
        <w:rPr>
          <w:rFonts w:hint="eastAsia" w:ascii="仿宋_GB2312" w:hAnsi="仿宋" w:eastAsia="仿宋_GB2312"/>
          <w:b w:val="0"/>
          <w:bCs w:val="0"/>
          <w:spacing w:val="0"/>
          <w:sz w:val="32"/>
          <w:szCs w:val="32"/>
        </w:rPr>
        <w:t>2021</w:t>
      </w:r>
      <w:r>
        <w:rPr>
          <w:rFonts w:hint="eastAsia" w:ascii="仿宋_GB2312" w:hAnsi="仿宋_GB2312" w:eastAsia="仿宋_GB2312" w:cs="仿宋_GB2312"/>
          <w:b w:val="0"/>
          <w:bCs w:val="0"/>
          <w:spacing w:val="0"/>
          <w:sz w:val="32"/>
          <w:szCs w:val="32"/>
        </w:rPr>
        <w:t>〕</w:t>
      </w:r>
      <w:r>
        <w:rPr>
          <w:rFonts w:hint="eastAsia" w:ascii="仿宋_GB2312" w:hAnsi="仿宋" w:eastAsia="仿宋_GB2312"/>
          <w:b w:val="0"/>
          <w:bCs w:val="0"/>
          <w:spacing w:val="0"/>
          <w:sz w:val="32"/>
          <w:szCs w:val="32"/>
        </w:rPr>
        <w:t>9号）和上海市安委会《上海市燃气安全排查整治实施方案》（沪安委会</w:t>
      </w:r>
      <w:r>
        <w:rPr>
          <w:rFonts w:hint="eastAsia" w:ascii="仿宋_GB2312" w:hAnsi="仿宋_GB2312" w:eastAsia="仿宋_GB2312" w:cs="仿宋_GB2312"/>
          <w:b w:val="0"/>
          <w:bCs w:val="0"/>
          <w:spacing w:val="0"/>
          <w:sz w:val="32"/>
          <w:szCs w:val="32"/>
        </w:rPr>
        <w:t>〔</w:t>
      </w:r>
      <w:r>
        <w:rPr>
          <w:rFonts w:hint="eastAsia" w:ascii="仿宋_GB2312" w:hAnsi="仿宋" w:eastAsia="仿宋_GB2312"/>
          <w:b w:val="0"/>
          <w:bCs w:val="0"/>
          <w:spacing w:val="0"/>
          <w:sz w:val="32"/>
          <w:szCs w:val="32"/>
        </w:rPr>
        <w:t>2021</w:t>
      </w:r>
      <w:r>
        <w:rPr>
          <w:rFonts w:hint="eastAsia" w:ascii="仿宋_GB2312" w:hAnsi="仿宋_GB2312" w:eastAsia="仿宋_GB2312" w:cs="仿宋_GB2312"/>
          <w:b w:val="0"/>
          <w:bCs w:val="0"/>
          <w:spacing w:val="0"/>
          <w:sz w:val="32"/>
          <w:szCs w:val="32"/>
        </w:rPr>
        <w:t>〕</w:t>
      </w:r>
      <w:r>
        <w:rPr>
          <w:rFonts w:hint="eastAsia" w:ascii="仿宋_GB2312" w:hAnsi="仿宋" w:eastAsia="仿宋_GB2312"/>
          <w:b w:val="0"/>
          <w:bCs w:val="0"/>
          <w:spacing w:val="0"/>
          <w:sz w:val="32"/>
          <w:szCs w:val="32"/>
        </w:rPr>
        <w:t>21号）的总体部署，有效防范和化解本市燃气行业重大安全风险，结合《上海市燃气行业安全生产专项整治三年行动计划》,制定本专项方案。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pacing w:val="0"/>
          <w:sz w:val="32"/>
          <w:szCs w:val="32"/>
        </w:rPr>
      </w:pPr>
      <w:r>
        <w:rPr>
          <w:rFonts w:hint="eastAsia" w:ascii="黑体" w:hAnsi="黑体" w:eastAsia="黑体"/>
          <w:spacing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pacing w:val="0"/>
          <w:sz w:val="32"/>
          <w:szCs w:val="32"/>
        </w:rPr>
      </w:pPr>
      <w:r>
        <w:rPr>
          <w:rFonts w:hint="eastAsia" w:ascii="仿宋_GB2312" w:hAnsi="仿宋" w:eastAsia="仿宋_GB2312"/>
          <w:spacing w:val="0"/>
          <w:sz w:val="32"/>
          <w:szCs w:val="32"/>
        </w:rPr>
        <w:t>以习近平新时代中国特色社会主义思想为指导，深入贯彻习近平总书记关于安全生产重要论述和考察上海重要讲话精神，全面落实新发展理念，汲取近期国内外燃气事故教训，强化底线思维和红线意识，坚持问题导向、目标导向和结果导向，围绕突出问题、盯牢重点环节、完善责任链条、开展精准治理、体现整治效果、形成制度成果，全面推进燃气行业安全生产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pacing w:val="0"/>
          <w:sz w:val="32"/>
          <w:szCs w:val="32"/>
        </w:rPr>
      </w:pPr>
      <w:r>
        <w:rPr>
          <w:rFonts w:hint="eastAsia" w:ascii="黑体" w:hAnsi="黑体" w:eastAsia="黑体"/>
          <w:spacing w:val="0"/>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pacing w:val="0"/>
          <w:sz w:val="32"/>
          <w:szCs w:val="32"/>
        </w:rPr>
      </w:pPr>
      <w:r>
        <w:rPr>
          <w:rFonts w:hint="eastAsia" w:ascii="仿宋_GB2312" w:hAnsi="仿宋" w:eastAsia="仿宋_GB2312"/>
          <w:spacing w:val="0"/>
          <w:sz w:val="32"/>
          <w:szCs w:val="32"/>
        </w:rPr>
        <w:t>全面贯彻落实国务院安委会和市安委会相关工作要求，从即日起至2022年年底，通过一年努力，摸清家底，细化任务，明确时间，压实责任，全面整治，持续提高燃气管道、设备设施、场站、工程建设、用户端的安全运行水平，持续提升燃气智能化水平，持续推动燃气数字化转型，有效防范重特大事故，确保不发生有严重社会影响的事故，确保本市燃气事故总量和燃气事故死亡人数始终保持低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pacing w:val="0"/>
          <w:sz w:val="32"/>
          <w:szCs w:val="32"/>
        </w:rPr>
      </w:pPr>
      <w:r>
        <w:rPr>
          <w:rFonts w:hint="eastAsia" w:ascii="黑体" w:hAnsi="黑体" w:eastAsia="黑体"/>
          <w:spacing w:val="0"/>
          <w:sz w:val="32"/>
          <w:szCs w:val="32"/>
        </w:rPr>
        <w:t>三、工作任务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楷体_GB2312" w:hAnsi="楷体" w:eastAsia="楷体_GB2312"/>
          <w:b w:val="0"/>
          <w:bCs/>
          <w:spacing w:val="0"/>
          <w:kern w:val="0"/>
          <w:sz w:val="32"/>
          <w:szCs w:val="32"/>
        </w:rPr>
      </w:pPr>
      <w:r>
        <w:rPr>
          <w:rFonts w:hint="eastAsia" w:ascii="楷体_GB2312" w:hAnsi="楷体" w:eastAsia="楷体_GB2312"/>
          <w:b/>
          <w:bCs w:val="0"/>
          <w:spacing w:val="0"/>
          <w:kern w:val="0"/>
          <w:sz w:val="32"/>
          <w:szCs w:val="32"/>
        </w:rPr>
        <w:t>（一）落实安全生产隐患排查整治，提升燃气行业安全生产水平。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1</w:t>
      </w:r>
      <w:r>
        <w:rPr>
          <w:rFonts w:hint="eastAsia" w:ascii="仿宋_GB2312" w:eastAsia="仿宋_GB2312"/>
          <w:spacing w:val="0"/>
          <w:sz w:val="32"/>
          <w:szCs w:val="32"/>
          <w:lang w:val="en-US" w:eastAsia="zh-CN"/>
        </w:rPr>
        <w:t>.</w:t>
      </w:r>
      <w:r>
        <w:rPr>
          <w:rFonts w:hint="eastAsia" w:ascii="仿宋_GB2312" w:eastAsia="仿宋_GB2312"/>
          <w:spacing w:val="0"/>
          <w:sz w:val="32"/>
          <w:szCs w:val="32"/>
        </w:rPr>
        <w:t>各燃气企业</w:t>
      </w:r>
      <w:r>
        <w:rPr>
          <w:rFonts w:hint="eastAsia" w:ascii="仿宋_GB2312" w:hAnsi="Calibri" w:eastAsia="仿宋_GB2312"/>
          <w:spacing w:val="0"/>
          <w:sz w:val="32"/>
          <w:szCs w:val="32"/>
        </w:rPr>
        <w:t>要</w:t>
      </w:r>
      <w:r>
        <w:rPr>
          <w:rFonts w:hint="eastAsia" w:ascii="仿宋_GB2312" w:eastAsia="仿宋_GB2312"/>
          <w:spacing w:val="0"/>
          <w:sz w:val="32"/>
          <w:szCs w:val="32"/>
        </w:rPr>
        <w:t>全面开展本单位安全生产隐患排查（附件2）,切实完成整改闭环，守住安全生产底线。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2</w:t>
      </w:r>
      <w:r>
        <w:rPr>
          <w:rFonts w:hint="eastAsia" w:ascii="仿宋_GB2312" w:eastAsia="仿宋_GB2312"/>
          <w:spacing w:val="0"/>
          <w:sz w:val="32"/>
          <w:szCs w:val="32"/>
          <w:lang w:val="en-US" w:eastAsia="zh-CN"/>
        </w:rPr>
        <w:t>.</w:t>
      </w:r>
      <w:r>
        <w:rPr>
          <w:rFonts w:hint="eastAsia" w:ascii="仿宋_GB2312" w:eastAsia="仿宋_GB2312"/>
          <w:spacing w:val="0"/>
          <w:sz w:val="32"/>
          <w:szCs w:val="32"/>
        </w:rPr>
        <w:t>各燃气企业</w:t>
      </w:r>
      <w:r>
        <w:rPr>
          <w:rFonts w:hint="eastAsia" w:ascii="仿宋_GB2312" w:hAnsi="Calibri" w:eastAsia="仿宋_GB2312"/>
          <w:spacing w:val="0"/>
          <w:sz w:val="32"/>
          <w:szCs w:val="32"/>
        </w:rPr>
        <w:t>要</w:t>
      </w:r>
      <w:r>
        <w:rPr>
          <w:rFonts w:hint="eastAsia" w:ascii="仿宋_GB2312" w:eastAsia="仿宋_GB2312"/>
          <w:spacing w:val="0"/>
          <w:sz w:val="32"/>
          <w:szCs w:val="32"/>
        </w:rPr>
        <w:t>加强一线作业人员和应急抢险队伍培训，严格持证上岗，杜绝违法违规操作，提升现场处置能力。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3</w:t>
      </w:r>
      <w:r>
        <w:rPr>
          <w:rFonts w:hint="eastAsia" w:ascii="仿宋_GB2312" w:eastAsia="仿宋_GB2312"/>
          <w:spacing w:val="0"/>
          <w:sz w:val="32"/>
          <w:szCs w:val="32"/>
          <w:lang w:val="en-US" w:eastAsia="zh-CN"/>
        </w:rPr>
        <w:t>.</w:t>
      </w:r>
      <w:r>
        <w:rPr>
          <w:rFonts w:hint="eastAsia" w:ascii="仿宋_GB2312" w:eastAsia="仿宋_GB2312"/>
          <w:spacing w:val="0"/>
          <w:sz w:val="32"/>
          <w:szCs w:val="32"/>
        </w:rPr>
        <w:t>燃气管理部门</w:t>
      </w:r>
      <w:r>
        <w:rPr>
          <w:rFonts w:hint="eastAsia" w:ascii="仿宋_GB2312" w:hAnsi="Calibri" w:eastAsia="仿宋_GB2312"/>
          <w:spacing w:val="0"/>
          <w:sz w:val="32"/>
          <w:szCs w:val="32"/>
        </w:rPr>
        <w:t>要</w:t>
      </w:r>
      <w:r>
        <w:rPr>
          <w:rFonts w:hint="eastAsia" w:ascii="仿宋_GB2312" w:eastAsia="仿宋_GB2312"/>
          <w:spacing w:val="0"/>
          <w:sz w:val="32"/>
          <w:szCs w:val="32"/>
        </w:rPr>
        <w:t>严格燃气市场准入,整顿燃气经营市场秩序，淘汰一批供应保障能力弱，设施设备基础差，安全管理水平低的企业，提升燃气企业整体安全管理运营能力。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b/>
          <w:bCs w:val="0"/>
          <w:spacing w:val="0"/>
          <w:kern w:val="0"/>
          <w:sz w:val="32"/>
          <w:szCs w:val="32"/>
        </w:rPr>
      </w:pPr>
      <w:r>
        <w:rPr>
          <w:rFonts w:hint="eastAsia" w:ascii="楷体_GB2312" w:hAnsi="楷体" w:eastAsia="楷体_GB2312"/>
          <w:b/>
          <w:bCs w:val="0"/>
          <w:spacing w:val="0"/>
          <w:kern w:val="0"/>
          <w:sz w:val="32"/>
          <w:szCs w:val="32"/>
        </w:rPr>
        <w:t>（二）落实餐饮等公共场所燃气隐患排查整治，提升人员密集场所安全运行水平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pacing w:val="0"/>
          <w:sz w:val="32"/>
          <w:szCs w:val="32"/>
        </w:rPr>
      </w:pPr>
      <w:r>
        <w:rPr>
          <w:rFonts w:hint="eastAsia" w:ascii="仿宋_GB2312" w:eastAsia="仿宋_GB2312"/>
          <w:spacing w:val="0"/>
          <w:sz w:val="32"/>
          <w:szCs w:val="32"/>
          <w:lang w:val="en-US" w:eastAsia="zh-CN"/>
        </w:rPr>
        <w:t>1.</w:t>
      </w:r>
      <w:r>
        <w:rPr>
          <w:rFonts w:hint="eastAsia" w:ascii="仿宋_GB2312" w:hAnsi="Calibri" w:eastAsia="仿宋_GB2312"/>
          <w:spacing w:val="0"/>
          <w:sz w:val="32"/>
          <w:szCs w:val="32"/>
        </w:rPr>
        <w:t>燃气经营企业要对燃气用户开展用气安全隐患排查工作；指导和协助燃气用户开展燃气安全隐患自查（附件3、4）；配合各行业领域主管部门组织开展的人员密集场所安全隐患排查工作，人员密集场所包括使用燃气的餐饮经营场所、商场、学校、医院、养老机构、建筑工地、车站、酒店、旅游景区、农贸市场、商住混合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pacing w:val="0"/>
          <w:sz w:val="32"/>
          <w:szCs w:val="32"/>
        </w:rPr>
      </w:pPr>
      <w:r>
        <w:rPr>
          <w:rFonts w:hint="eastAsia" w:ascii="仿宋_GB2312" w:eastAsia="仿宋_GB2312"/>
          <w:spacing w:val="0"/>
          <w:sz w:val="32"/>
          <w:szCs w:val="32"/>
          <w:lang w:val="en-US" w:eastAsia="zh-CN"/>
        </w:rPr>
        <w:t>2.</w:t>
      </w:r>
      <w:r>
        <w:rPr>
          <w:rFonts w:hint="eastAsia" w:ascii="仿宋_GB2312" w:hAnsi="Calibri" w:eastAsia="仿宋_GB2312"/>
          <w:spacing w:val="0"/>
          <w:sz w:val="32"/>
          <w:szCs w:val="32"/>
        </w:rPr>
        <w:t>燃气经营企业要根据《安全生产法》（2021版）和《上海市燃气管理条例》规定，严格把关安全用气条件，配合各行业领域主管部门共同推动可燃气体报警装置安装工作（附件5）。</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b/>
          <w:bCs w:val="0"/>
          <w:spacing w:val="0"/>
          <w:kern w:val="0"/>
          <w:sz w:val="32"/>
          <w:szCs w:val="32"/>
        </w:rPr>
      </w:pPr>
      <w:r>
        <w:rPr>
          <w:rFonts w:hint="eastAsia" w:ascii="楷体_GB2312" w:hAnsi="楷体" w:eastAsia="楷体_GB2312"/>
          <w:b/>
          <w:bCs w:val="0"/>
          <w:spacing w:val="0"/>
          <w:kern w:val="0"/>
          <w:sz w:val="32"/>
          <w:szCs w:val="32"/>
        </w:rPr>
        <w:t>（三）落实老旧小区燃气隐患排查整治，提升居民用户本质安全水平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各区燃气管理部门</w:t>
      </w:r>
      <w:r>
        <w:rPr>
          <w:rFonts w:hint="eastAsia" w:ascii="仿宋_GB2312" w:hAnsi="Calibri" w:eastAsia="仿宋_GB2312"/>
          <w:spacing w:val="0"/>
          <w:sz w:val="32"/>
          <w:szCs w:val="32"/>
        </w:rPr>
        <w:t>要</w:t>
      </w:r>
      <w:r>
        <w:rPr>
          <w:rFonts w:hint="eastAsia" w:ascii="仿宋_GB2312" w:eastAsia="仿宋_GB2312"/>
          <w:spacing w:val="0"/>
          <w:sz w:val="32"/>
          <w:szCs w:val="32"/>
        </w:rPr>
        <w:t>会同街镇牵头，燃气经营企业全面排查老旧小区内燃气管道、调压站、燃气引入管、立管以及管道穿越楼板部位的安全隐患，同时重点排查整治小区内违规设置非法储存充装点，居民用户擅自安装、改装、拆除户内燃气设施和燃气计量装置，室内管道严重锈蚀，使用不合格气瓶、灶具、连接软管和减压阀，在不具备通风条件场所使用燃气等风险隐患（附件6）。</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b/>
          <w:bCs w:val="0"/>
          <w:spacing w:val="0"/>
          <w:kern w:val="0"/>
          <w:sz w:val="32"/>
          <w:szCs w:val="32"/>
        </w:rPr>
      </w:pPr>
      <w:r>
        <w:rPr>
          <w:rFonts w:hint="eastAsia" w:ascii="楷体_GB2312" w:hAnsi="楷体" w:eastAsia="楷体_GB2312"/>
          <w:b/>
          <w:bCs w:val="0"/>
          <w:spacing w:val="0"/>
          <w:kern w:val="0"/>
          <w:sz w:val="32"/>
          <w:szCs w:val="32"/>
        </w:rPr>
        <w:t>（四）落实燃气工程隐患排查整治，提升燃气施工安全水平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lang w:val="en-US" w:eastAsia="zh-CN"/>
        </w:rPr>
        <w:t>1.</w:t>
      </w:r>
      <w:r>
        <w:rPr>
          <w:rFonts w:hint="eastAsia" w:ascii="仿宋_GB2312" w:eastAsia="仿宋_GB2312"/>
          <w:spacing w:val="0"/>
          <w:sz w:val="32"/>
          <w:szCs w:val="32"/>
        </w:rPr>
        <w:t>各区建设管理部门、燃气管理部门和燃气经营企业要对在建燃气工程管理环节程序的落实情况进行排查；对燃气管道周边建设项目开展排查，落实燃气管道保护工作要求，打击危害燃气管道安全的行为。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lang w:val="en-US" w:eastAsia="zh-CN"/>
        </w:rPr>
        <w:t>2.</w:t>
      </w:r>
      <w:r>
        <w:rPr>
          <w:rFonts w:hint="eastAsia" w:ascii="仿宋_GB2312" w:eastAsia="仿宋_GB2312"/>
          <w:spacing w:val="0"/>
          <w:sz w:val="32"/>
          <w:szCs w:val="32"/>
        </w:rPr>
        <w:t>各区建设管理部门、燃气管理部门要严厉打击燃气新建、改造等工程中质量安全不落实、违规发包等违法违规行为。重点</w:t>
      </w:r>
      <w:r>
        <w:rPr>
          <w:rFonts w:hint="eastAsia" w:ascii="仿宋_GB2312" w:eastAsia="仿宋_GB2312"/>
          <w:bCs/>
          <w:spacing w:val="0"/>
          <w:sz w:val="32"/>
          <w:szCs w:val="32"/>
        </w:rPr>
        <w:t>落实工程作业人员实名制管理</w:t>
      </w:r>
      <w:r>
        <w:rPr>
          <w:rFonts w:hint="eastAsia" w:ascii="仿宋_GB2312" w:eastAsia="仿宋_GB2312"/>
          <w:spacing w:val="0"/>
          <w:sz w:val="32"/>
          <w:szCs w:val="32"/>
        </w:rPr>
        <w:t>，打击人员挂靠、无证上岗行为。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lang w:val="en-US" w:eastAsia="zh-CN"/>
        </w:rPr>
        <w:t>3.</w:t>
      </w:r>
      <w:r>
        <w:rPr>
          <w:rFonts w:hint="eastAsia" w:ascii="仿宋_GB2312" w:eastAsia="仿宋_GB2312"/>
          <w:spacing w:val="0"/>
          <w:sz w:val="32"/>
          <w:szCs w:val="32"/>
        </w:rPr>
        <w:t>各区建设管理部门、燃气管理部门要根据本市燃气工程建设管理规定，督促企业落实相关政策要求，确保各类燃气工程依法纳入监管体系（附件7）。同时要梳理、完善燃气工程管理标准及流程。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b/>
          <w:bCs w:val="0"/>
          <w:spacing w:val="0"/>
          <w:kern w:val="0"/>
          <w:sz w:val="32"/>
          <w:szCs w:val="32"/>
        </w:rPr>
      </w:pPr>
      <w:r>
        <w:rPr>
          <w:rFonts w:hint="eastAsia" w:ascii="楷体_GB2312" w:hAnsi="楷体" w:eastAsia="楷体_GB2312"/>
          <w:b/>
          <w:bCs w:val="0"/>
          <w:spacing w:val="0"/>
          <w:kern w:val="0"/>
          <w:sz w:val="32"/>
          <w:szCs w:val="32"/>
        </w:rPr>
        <w:t>（五）配合落实燃气具等燃气源头隐患整治，提升燃气源头质量水平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燃气管理部门要配合市场监督管理部门对燃气器具、燃气泄漏报警装置及减压阀等产品质量开展市场抽查和打击假冒伪劣产品的执法行动。燃气管理部门要通过本市燃气器具、燃气泄漏报警装置备案制度，加强对符合标准燃气器具及配件产品的正面引导。</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b/>
          <w:bCs w:val="0"/>
          <w:spacing w:val="0"/>
          <w:kern w:val="0"/>
          <w:sz w:val="32"/>
          <w:szCs w:val="32"/>
        </w:rPr>
      </w:pPr>
      <w:r>
        <w:rPr>
          <w:rFonts w:hint="eastAsia" w:ascii="楷体_GB2312" w:hAnsi="楷体" w:eastAsia="楷体_GB2312"/>
          <w:b/>
          <w:bCs w:val="0"/>
          <w:spacing w:val="0"/>
          <w:kern w:val="0"/>
          <w:sz w:val="32"/>
          <w:szCs w:val="32"/>
        </w:rPr>
        <w:t>（六）落实燃气管道设施隐患排查整治，提升管道本体安全建设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1</w:t>
      </w:r>
      <w:r>
        <w:rPr>
          <w:rFonts w:hint="eastAsia" w:ascii="仿宋_GB2312" w:eastAsia="仿宋_GB2312"/>
          <w:spacing w:val="0"/>
          <w:sz w:val="32"/>
          <w:szCs w:val="32"/>
          <w:lang w:val="en-US" w:eastAsia="zh-CN"/>
        </w:rPr>
        <w:t>.</w:t>
      </w:r>
      <w:r>
        <w:rPr>
          <w:rFonts w:hint="eastAsia" w:ascii="仿宋_GB2312" w:eastAsia="仿宋_GB2312"/>
          <w:spacing w:val="0"/>
          <w:sz w:val="32"/>
          <w:szCs w:val="32"/>
        </w:rPr>
        <w:t>燃气经营企业要全面排查燃气场站设施、燃气管道，摸清家底，梳理隐患风险，重点推进治理。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2</w:t>
      </w:r>
      <w:r>
        <w:rPr>
          <w:rFonts w:hint="eastAsia" w:ascii="仿宋_GB2312" w:eastAsia="仿宋_GB2312"/>
          <w:spacing w:val="0"/>
          <w:sz w:val="32"/>
          <w:szCs w:val="32"/>
          <w:lang w:val="en-US" w:eastAsia="zh-CN"/>
        </w:rPr>
        <w:t>.</w:t>
      </w:r>
      <w:r>
        <w:rPr>
          <w:rFonts w:hint="eastAsia" w:ascii="仿宋_GB2312" w:eastAsia="仿宋_GB2312"/>
          <w:spacing w:val="0"/>
          <w:sz w:val="32"/>
          <w:szCs w:val="32"/>
        </w:rPr>
        <w:t>燃气管理部门要完善协调机制，督促企业压实主体责任，燃气经营企业要加快推进53公里地下隐患管道整治工作。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3</w:t>
      </w:r>
      <w:r>
        <w:rPr>
          <w:rFonts w:hint="eastAsia" w:ascii="仿宋_GB2312" w:eastAsia="仿宋_GB2312"/>
          <w:spacing w:val="0"/>
          <w:sz w:val="32"/>
          <w:szCs w:val="32"/>
          <w:lang w:val="en-US" w:eastAsia="zh-CN"/>
        </w:rPr>
        <w:t>.</w:t>
      </w:r>
      <w:r>
        <w:rPr>
          <w:rFonts w:hint="eastAsia" w:ascii="仿宋_GB2312" w:eastAsia="仿宋_GB2312"/>
          <w:spacing w:val="0"/>
          <w:sz w:val="32"/>
          <w:szCs w:val="32"/>
        </w:rPr>
        <w:t>燃气经营企业要强化日常燃气管线保护工作，建立健全管道巡查责任制度，完善管线巡检记录系统，做好占压整治、防范外损、老旧管道更新等工作。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b/>
          <w:bCs w:val="0"/>
          <w:spacing w:val="0"/>
          <w:kern w:val="0"/>
          <w:sz w:val="32"/>
          <w:szCs w:val="32"/>
        </w:rPr>
      </w:pPr>
      <w:r>
        <w:rPr>
          <w:rFonts w:hint="eastAsia" w:ascii="楷体_GB2312" w:hAnsi="楷体" w:eastAsia="楷体_GB2312"/>
          <w:b/>
          <w:bCs w:val="0"/>
          <w:spacing w:val="0"/>
          <w:kern w:val="0"/>
          <w:sz w:val="32"/>
          <w:szCs w:val="32"/>
        </w:rPr>
        <w:t>（七）落实瓶装液化石油气隐患排查整治，提升安全管理能力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1</w:t>
      </w:r>
      <w:r>
        <w:rPr>
          <w:rFonts w:hint="eastAsia" w:ascii="仿宋_GB2312" w:eastAsia="仿宋_GB2312"/>
          <w:spacing w:val="0"/>
          <w:sz w:val="32"/>
          <w:szCs w:val="32"/>
          <w:lang w:val="en-US" w:eastAsia="zh-CN"/>
        </w:rPr>
        <w:t>.</w:t>
      </w:r>
      <w:r>
        <w:rPr>
          <w:rFonts w:hint="eastAsia" w:ascii="仿宋_GB2312" w:eastAsia="仿宋_GB2312"/>
          <w:spacing w:val="0"/>
          <w:sz w:val="32"/>
          <w:szCs w:val="32"/>
        </w:rPr>
        <w:t>燃气经营企业要持续深化瓶装液化气统一配送，严格执行经营管理、运输管理规定，确保气瓶信息全过程可追溯。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lang w:val="en-US" w:eastAsia="zh-CN"/>
        </w:rPr>
        <w:t>2.</w:t>
      </w:r>
      <w:r>
        <w:rPr>
          <w:rFonts w:hint="eastAsia" w:ascii="仿宋_GB2312" w:eastAsia="仿宋_GB2312"/>
          <w:spacing w:val="0"/>
          <w:sz w:val="32"/>
          <w:szCs w:val="32"/>
        </w:rPr>
        <w:t>燃气经营企业要严格执行实名销售、签订供气合同，提供符合标准的调压器、连接管等产品，建立健全用户安检长效管理机制。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lang w:val="en-US" w:eastAsia="zh-CN"/>
        </w:rPr>
        <w:t>3.</w:t>
      </w:r>
      <w:r>
        <w:rPr>
          <w:rFonts w:hint="eastAsia" w:ascii="仿宋_GB2312" w:eastAsia="仿宋_GB2312"/>
          <w:spacing w:val="0"/>
          <w:sz w:val="32"/>
          <w:szCs w:val="32"/>
        </w:rPr>
        <w:t>燃气管理部门要强化多部门协作，通过信息化手段，严厉打击非法贩售、运输、倒灌和用户使用非法液化气等违法行为，切实提高发现率和查处率。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lang w:val="en-US" w:eastAsia="zh-CN"/>
        </w:rPr>
        <w:t>4.</w:t>
      </w:r>
      <w:r>
        <w:rPr>
          <w:rFonts w:hint="eastAsia" w:ascii="仿宋_GB2312" w:eastAsia="仿宋_GB2312"/>
          <w:spacing w:val="0"/>
          <w:sz w:val="32"/>
          <w:szCs w:val="32"/>
        </w:rPr>
        <w:t>各区要落实基层属地安全监管责任，广泛开展清查整治和社区安全宣传（附件8）。</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b/>
          <w:bCs w:val="0"/>
          <w:spacing w:val="0"/>
          <w:kern w:val="0"/>
          <w:sz w:val="32"/>
          <w:szCs w:val="32"/>
        </w:rPr>
      </w:pPr>
      <w:r>
        <w:rPr>
          <w:rFonts w:hint="eastAsia" w:ascii="楷体_GB2312" w:hAnsi="楷体" w:eastAsia="楷体_GB2312"/>
          <w:b/>
          <w:bCs w:val="0"/>
          <w:spacing w:val="0"/>
          <w:kern w:val="0"/>
          <w:sz w:val="32"/>
          <w:szCs w:val="32"/>
        </w:rPr>
        <w:t>（八）落实燃气数字化转型，提升重要节点实时监控和预警能力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lang w:val="en-US" w:eastAsia="zh-CN"/>
        </w:rPr>
        <w:t>1.</w:t>
      </w:r>
      <w:r>
        <w:rPr>
          <w:rFonts w:hint="eastAsia" w:ascii="仿宋_GB2312" w:eastAsia="仿宋_GB2312"/>
          <w:spacing w:val="0"/>
          <w:sz w:val="32"/>
          <w:szCs w:val="32"/>
        </w:rPr>
        <w:t>燃气管理部门要依托城市一网统管和安全发展示范城市创建，建立安全风险监测预警平台（试点）。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lang w:val="en-US" w:eastAsia="zh-CN"/>
        </w:rPr>
        <w:t>2.</w:t>
      </w:r>
      <w:r>
        <w:rPr>
          <w:rFonts w:hint="eastAsia" w:ascii="仿宋_GB2312" w:eastAsia="仿宋_GB2312"/>
          <w:spacing w:val="0"/>
          <w:sz w:val="32"/>
          <w:szCs w:val="32"/>
        </w:rPr>
        <w:t>燃气经营企业要持续完善主干管网全寿命周期管理体系建设，探索5G+“无人机”等新型燃气管网巡检技术，有序推进燃气管网基础设施数字孪生底座建设。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val="0"/>
          <w:bCs w:val="0"/>
          <w:spacing w:val="0"/>
          <w:sz w:val="32"/>
          <w:szCs w:val="32"/>
        </w:rPr>
      </w:pPr>
      <w:r>
        <w:rPr>
          <w:rFonts w:hint="eastAsia" w:ascii="仿宋_GB2312" w:eastAsia="仿宋_GB2312"/>
          <w:spacing w:val="0"/>
          <w:sz w:val="32"/>
          <w:szCs w:val="32"/>
          <w:lang w:val="en-US" w:eastAsia="zh-CN"/>
        </w:rPr>
        <w:t>3.</w:t>
      </w:r>
      <w:r>
        <w:rPr>
          <w:rFonts w:hint="eastAsia" w:ascii="仿宋_GB2312" w:eastAsia="仿宋_GB2312"/>
          <w:b w:val="0"/>
          <w:bCs w:val="0"/>
          <w:spacing w:val="0"/>
          <w:sz w:val="32"/>
          <w:szCs w:val="32"/>
        </w:rPr>
        <w:t>燃气经营企业要依托燃气数据采集和监控系统（SCADA）平台，完善对重要节点的燃气管道、调压器、阀门井等实时监控和预警，预判和处置管网隐患，防范管线泄漏事故（附件9）。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pacing w:val="0"/>
          <w:sz w:val="32"/>
          <w:szCs w:val="32"/>
        </w:rPr>
      </w:pPr>
      <w:r>
        <w:rPr>
          <w:rFonts w:hint="eastAsia" w:ascii="黑体" w:hAnsi="黑体" w:eastAsia="黑体"/>
          <w:spacing w:val="0"/>
          <w:sz w:val="32"/>
          <w:szCs w:val="32"/>
        </w:rPr>
        <w:t>四、进度安排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pacing w:val="0"/>
          <w:sz w:val="32"/>
          <w:szCs w:val="32"/>
          <w:lang w:eastAsia="zh-CN"/>
        </w:rPr>
      </w:pPr>
      <w:r>
        <w:rPr>
          <w:rFonts w:hint="eastAsia" w:ascii="仿宋_GB2312" w:eastAsia="仿宋_GB2312"/>
          <w:spacing w:val="0"/>
          <w:sz w:val="32"/>
          <w:szCs w:val="32"/>
        </w:rPr>
        <w:t>从2021年12月至2022年12月，分四个阶段进行</w:t>
      </w:r>
      <w:r>
        <w:rPr>
          <w:rFonts w:hint="eastAsia" w:ascii="仿宋_GB2312" w:eastAsia="仿宋_GB2312"/>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b/>
          <w:bCs w:val="0"/>
          <w:spacing w:val="0"/>
          <w:kern w:val="0"/>
          <w:sz w:val="32"/>
          <w:szCs w:val="32"/>
        </w:rPr>
      </w:pPr>
      <w:r>
        <w:rPr>
          <w:rFonts w:hint="eastAsia" w:ascii="楷体_GB2312" w:hAnsi="楷体" w:eastAsia="楷体_GB2312"/>
          <w:b/>
          <w:bCs w:val="0"/>
          <w:spacing w:val="0"/>
          <w:kern w:val="0"/>
          <w:sz w:val="32"/>
          <w:szCs w:val="32"/>
        </w:rPr>
        <w:t>动员部署阶段（2021年12月至2022年1月中旬）</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区燃气管理部门、各燃气企业要认真贯彻落实全国城镇燃气安全排查整治电视电话会议和本市分会场会议精神，按照国务院安委会和市委市政府的工作部署全面启动城镇燃气安全排查整治工作。要结合实际细化制定排查整治方案，进一步落实责任，明确任务和责任部门，对排查整治任务作出具体安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b/>
          <w:bCs w:val="0"/>
          <w:spacing w:val="0"/>
          <w:kern w:val="0"/>
          <w:sz w:val="32"/>
          <w:szCs w:val="32"/>
        </w:rPr>
      </w:pPr>
      <w:r>
        <w:rPr>
          <w:rFonts w:hint="eastAsia" w:ascii="楷体_GB2312" w:hAnsi="楷体" w:eastAsia="楷体_GB2312"/>
          <w:b/>
          <w:bCs w:val="0"/>
          <w:spacing w:val="0"/>
          <w:kern w:val="0"/>
          <w:sz w:val="32"/>
          <w:szCs w:val="32"/>
        </w:rPr>
        <w:t>排查摸底阶段（2022年1月至3月）</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bCs/>
          <w:spacing w:val="0"/>
          <w:sz w:val="32"/>
          <w:szCs w:val="32"/>
        </w:rPr>
      </w:pPr>
      <w:r>
        <w:rPr>
          <w:rFonts w:hint="eastAsia" w:ascii="仿宋_GB2312" w:hAnsi="仿宋_GB2312" w:eastAsia="仿宋_GB2312" w:cs="仿宋_GB2312"/>
          <w:b w:val="0"/>
          <w:bCs/>
          <w:spacing w:val="0"/>
          <w:kern w:val="0"/>
          <w:sz w:val="32"/>
          <w:szCs w:val="32"/>
        </w:rPr>
        <w:t>各区燃气管理部门、各燃气企业组织开展对本地区燃气相关企业、燃气基础设施、燃气安全运行情况等开展全面摸底排查,摸清本辖区、本行业领域燃气总体情况、存在突出问题和薄弱环节并建立台账清单。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b/>
          <w:bCs w:val="0"/>
          <w:spacing w:val="0"/>
          <w:kern w:val="0"/>
          <w:sz w:val="32"/>
          <w:szCs w:val="32"/>
        </w:rPr>
      </w:pPr>
      <w:r>
        <w:rPr>
          <w:rFonts w:hint="eastAsia" w:ascii="楷体_GB2312" w:hAnsi="楷体" w:eastAsia="楷体_GB2312"/>
          <w:b/>
          <w:bCs w:val="0"/>
          <w:spacing w:val="0"/>
          <w:kern w:val="0"/>
          <w:sz w:val="32"/>
          <w:szCs w:val="32"/>
        </w:rPr>
        <w:t>整治攻坚阶段（2022年4月至11月）</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pacing w:val="0"/>
          <w:kern w:val="0"/>
          <w:sz w:val="32"/>
          <w:szCs w:val="32"/>
        </w:rPr>
      </w:pPr>
      <w:r>
        <w:rPr>
          <w:rFonts w:hint="eastAsia" w:ascii="仿宋_GB2312" w:hAnsi="仿宋_GB2312" w:eastAsia="仿宋_GB2312" w:cs="仿宋_GB2312"/>
          <w:bCs/>
          <w:spacing w:val="0"/>
          <w:kern w:val="0"/>
          <w:sz w:val="32"/>
          <w:szCs w:val="32"/>
        </w:rPr>
        <w:t>对排查出来的重大问题隐患要立行立改，并落实资金保障。不能立即整改到位的，要落实好管控措施，并制定整改时间表和路线图，明确整改责任单位和整改要求。动态更新问题隐患清单，挂图作战、系统治理、整体推进，并通过督导检查、明查暗访、联合执法、考核评估、警示通报等手段方法持续加大整治攻坚力度，确保重大安全风险管控到位、重大问题隐患整改到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b/>
          <w:bCs w:val="0"/>
          <w:spacing w:val="0"/>
          <w:kern w:val="0"/>
          <w:sz w:val="32"/>
          <w:szCs w:val="32"/>
        </w:rPr>
      </w:pPr>
      <w:r>
        <w:rPr>
          <w:rFonts w:hint="eastAsia" w:ascii="楷体_GB2312" w:hAnsi="楷体" w:eastAsia="楷体_GB2312"/>
          <w:b/>
          <w:bCs w:val="0"/>
          <w:spacing w:val="0"/>
          <w:kern w:val="0"/>
          <w:sz w:val="32"/>
          <w:szCs w:val="32"/>
        </w:rPr>
        <w:t>巩固提升阶段（2022年12月）</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认真总结排查整治工作经验做法，及时总结提炼并固化为制度和规范，进一步健全完善城镇燃气安全长效机制。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pacing w:val="0"/>
          <w:sz w:val="32"/>
          <w:szCs w:val="32"/>
        </w:rPr>
      </w:pPr>
      <w:r>
        <w:rPr>
          <w:rFonts w:hint="eastAsia" w:ascii="黑体" w:hAnsi="黑体" w:eastAsia="黑体"/>
          <w:spacing w:val="0"/>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_GB2312"/>
          <w:b/>
          <w:bCs w:val="0"/>
          <w:spacing w:val="0"/>
          <w:kern w:val="0"/>
          <w:sz w:val="32"/>
          <w:szCs w:val="32"/>
        </w:rPr>
      </w:pPr>
      <w:r>
        <w:rPr>
          <w:rFonts w:hint="eastAsia" w:ascii="楷体" w:hAnsi="楷体" w:eastAsia="楷体_GB2312"/>
          <w:b/>
          <w:bCs w:val="0"/>
          <w:spacing w:val="0"/>
          <w:kern w:val="0"/>
          <w:sz w:val="32"/>
          <w:szCs w:val="32"/>
        </w:rPr>
        <w:t>（一）加强部署，落实组织领导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各区燃气管理部门、各燃气企业要高度重视，成立专项工作领导小组，主要负责同志要亲自挂帅部署、加强统筹协调，层层压实责任。要会同同级市场监管、商务、公安、交通、消防等部门，建立联席会议制度，形成联合执法机制，形成齐抓共管的排查整治工作局面。</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_GB2312"/>
          <w:b/>
          <w:bCs w:val="0"/>
          <w:spacing w:val="0"/>
          <w:kern w:val="0"/>
          <w:sz w:val="32"/>
          <w:szCs w:val="32"/>
        </w:rPr>
      </w:pPr>
      <w:r>
        <w:rPr>
          <w:rFonts w:hint="eastAsia" w:ascii="楷体" w:hAnsi="楷体" w:eastAsia="楷体_GB2312"/>
          <w:b/>
          <w:bCs w:val="0"/>
          <w:spacing w:val="0"/>
          <w:kern w:val="0"/>
          <w:sz w:val="32"/>
          <w:szCs w:val="32"/>
        </w:rPr>
        <w:t>加强指导，严格过程管理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ascii="楷体" w:hAnsi="楷体" w:eastAsia="楷体_GB2312"/>
          <w:b/>
          <w:spacing w:val="0"/>
          <w:kern w:val="0"/>
          <w:sz w:val="32"/>
          <w:szCs w:val="32"/>
        </w:rPr>
      </w:pPr>
      <w:r>
        <w:rPr>
          <w:rFonts w:hint="eastAsia" w:ascii="仿宋_GB2312" w:eastAsia="仿宋_GB2312"/>
          <w:spacing w:val="0"/>
          <w:sz w:val="32"/>
          <w:szCs w:val="32"/>
        </w:rPr>
        <w:t>各级燃气管理部门要加强指导、抽查和督查工作，要采用“四不两直”的方式开展暗查暗访，坚持检查要严、执法要严、整改要严、追究责任和处罚要严、各项制度的落实更要严，对非法违法行为要重拳打击、重典治乱。</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_GB2312"/>
          <w:b/>
          <w:bCs w:val="0"/>
          <w:spacing w:val="0"/>
          <w:kern w:val="0"/>
          <w:sz w:val="32"/>
          <w:szCs w:val="32"/>
        </w:rPr>
      </w:pPr>
      <w:r>
        <w:rPr>
          <w:rFonts w:hint="eastAsia" w:ascii="楷体" w:hAnsi="楷体" w:eastAsia="楷体_GB2312"/>
          <w:b/>
          <w:bCs w:val="0"/>
          <w:spacing w:val="0"/>
          <w:kern w:val="0"/>
          <w:sz w:val="32"/>
          <w:szCs w:val="32"/>
        </w:rPr>
        <w:t>加强宣传，推动群防群治</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充分发挥各类媒体作用，全面加大宣传力度，加强正面引领和典型案例警示教育，营造积极社会舆论氛围，同时要确保安全整治和疫情防控工作相结合。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请各区燃气管理部门、各燃气企业于2022年1月15日前上报排查整治工作部署情况；各燃气经营企业于3月底前报送《燃气经营企业安全生产隐患排查统计表》；各燃气建设单位于3月底前报送《</w:t>
      </w:r>
      <w:r>
        <w:rPr>
          <w:rFonts w:hint="eastAsia" w:eastAsia="仿宋_GB2312"/>
          <w:spacing w:val="0"/>
          <w:sz w:val="32"/>
          <w:szCs w:val="32"/>
        </w:rPr>
        <w:t>燃气建设单位隐患排查统计表</w:t>
      </w:r>
      <w:r>
        <w:rPr>
          <w:rFonts w:hint="eastAsia" w:ascii="仿宋_GB2312" w:eastAsia="仿宋_GB2312"/>
          <w:spacing w:val="0"/>
          <w:sz w:val="32"/>
          <w:szCs w:val="32"/>
        </w:rPr>
        <w:t>》，</w:t>
      </w:r>
      <w:r>
        <w:rPr>
          <w:rFonts w:hint="eastAsia" w:ascii="仿宋_GB2312" w:eastAsia="仿宋_GB2312"/>
          <w:spacing w:val="0"/>
          <w:sz w:val="32"/>
          <w:szCs w:val="32"/>
          <w:lang w:eastAsia="zh-CN"/>
        </w:rPr>
        <w:t>并</w:t>
      </w:r>
      <w:r>
        <w:rPr>
          <w:rFonts w:hint="eastAsia" w:ascii="仿宋_GB2312" w:eastAsia="仿宋_GB2312"/>
          <w:spacing w:val="0"/>
          <w:sz w:val="32"/>
          <w:szCs w:val="32"/>
        </w:rPr>
        <w:t>于11月底前报送隐患整改情况；各区燃气管理部门，各液化气经营企业于11月底前报送《</w:t>
      </w:r>
      <w:r>
        <w:rPr>
          <w:rFonts w:hint="eastAsia" w:eastAsia="仿宋_GB2312"/>
          <w:spacing w:val="0"/>
          <w:sz w:val="32"/>
          <w:szCs w:val="32"/>
        </w:rPr>
        <w:t>液化气专项工作统计表</w:t>
      </w:r>
      <w:r>
        <w:rPr>
          <w:rFonts w:hint="eastAsia" w:ascii="仿宋_GB2312" w:eastAsia="仿宋_GB2312"/>
          <w:spacing w:val="0"/>
          <w:sz w:val="32"/>
          <w:szCs w:val="32"/>
        </w:rPr>
        <w:t>》；各相关燃气经营企业于11月底前报送《</w:t>
      </w:r>
      <w:r>
        <w:rPr>
          <w:rFonts w:hint="eastAsia" w:eastAsia="仿宋_GB2312"/>
          <w:spacing w:val="0"/>
          <w:sz w:val="32"/>
          <w:szCs w:val="32"/>
        </w:rPr>
        <w:t>数字化专项工作统计表</w:t>
      </w:r>
      <w:r>
        <w:rPr>
          <w:rFonts w:hint="eastAsia" w:ascii="仿宋_GB2312" w:eastAsia="仿宋_GB2312"/>
          <w:spacing w:val="0"/>
          <w:sz w:val="32"/>
          <w:szCs w:val="32"/>
        </w:rPr>
        <w:t>》；各部门、各单位分别于2022年2月10日、5月10日、8月10日、11月10日之前报送本部门、本单位工作进展情况、典型执法案例和《</w:t>
      </w:r>
      <w:r>
        <w:rPr>
          <w:rFonts w:hint="eastAsia" w:eastAsia="仿宋_GB2312"/>
          <w:spacing w:val="0"/>
          <w:sz w:val="32"/>
          <w:szCs w:val="32"/>
        </w:rPr>
        <w:t>报警装置专项工作统计表</w:t>
      </w:r>
      <w:r>
        <w:rPr>
          <w:rFonts w:hint="eastAsia" w:ascii="仿宋_GB2312" w:eastAsia="仿宋_GB2312"/>
          <w:spacing w:val="0"/>
          <w:sz w:val="32"/>
          <w:szCs w:val="32"/>
        </w:rPr>
        <w:t>》、《城镇燃气安全排查整治信息统计表》、《</w:t>
      </w:r>
      <w:r>
        <w:rPr>
          <w:rFonts w:ascii="仿宋_GB2312" w:eastAsia="仿宋_GB2312"/>
          <w:spacing w:val="0"/>
          <w:sz w:val="32"/>
          <w:szCs w:val="32"/>
        </w:rPr>
        <w:t>城镇燃气重大安全风险隐患排查整治统计表</w:t>
      </w:r>
      <w:r>
        <w:rPr>
          <w:rFonts w:hint="eastAsia" w:ascii="仿宋_GB2312" w:eastAsia="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管道燃气企业联系人：徐诚</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53016591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液化气、非管输企业联系人：吴航</w:t>
      </w:r>
      <w:r>
        <w:rPr>
          <w:rFonts w:hint="eastAsia" w:ascii="仿宋_GB2312" w:eastAsia="仿宋_GB2312"/>
          <w:spacing w:val="0"/>
          <w:sz w:val="32"/>
          <w:szCs w:val="32"/>
          <w:lang w:val="en-US" w:eastAsia="zh-CN"/>
        </w:rPr>
        <w:t xml:space="preserve"> </w:t>
      </w:r>
      <w:r>
        <w:rPr>
          <w:rFonts w:ascii="仿宋_GB2312" w:eastAsia="仿宋_GB2312"/>
          <w:spacing w:val="0"/>
          <w:sz w:val="32"/>
          <w:szCs w:val="32"/>
        </w:rPr>
        <w:t>53016721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燃气建设企业联系人：陈志强</w:t>
      </w:r>
      <w:r>
        <w:rPr>
          <w:rFonts w:hint="eastAsia" w:ascii="仿宋_GB2312" w:eastAsia="仿宋_GB2312"/>
          <w:spacing w:val="0"/>
          <w:sz w:val="32"/>
          <w:szCs w:val="32"/>
          <w:lang w:val="en-US" w:eastAsia="zh-CN"/>
        </w:rPr>
        <w:t xml:space="preserve"> </w:t>
      </w:r>
      <w:r>
        <w:rPr>
          <w:rFonts w:ascii="仿宋_GB2312" w:eastAsia="仿宋_GB2312"/>
          <w:spacing w:val="0"/>
          <w:sz w:val="32"/>
          <w:szCs w:val="32"/>
        </w:rPr>
        <w:t>5301</w:t>
      </w:r>
      <w:r>
        <w:rPr>
          <w:rFonts w:hint="eastAsia" w:ascii="仿宋_GB2312" w:eastAsia="仿宋_GB2312"/>
          <w:spacing w:val="0"/>
          <w:sz w:val="32"/>
          <w:szCs w:val="32"/>
        </w:rPr>
        <w:t>4921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0"/>
          <w:sz w:val="32"/>
          <w:szCs w:val="32"/>
        </w:rPr>
      </w:pPr>
      <w:r>
        <w:rPr>
          <w:rFonts w:hint="eastAsia" w:ascii="仿宋_GB2312" w:eastAsia="仿宋_GB2312"/>
          <w:spacing w:val="0"/>
          <w:sz w:val="32"/>
          <w:szCs w:val="32"/>
        </w:rPr>
        <w:t>报警器工作联系人：周波</w:t>
      </w: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rPr>
        <w:t>53013080</w:t>
      </w:r>
    </w:p>
    <w:p>
      <w:pPr>
        <w:pStyle w:val="17"/>
        <w:spacing w:line="600" w:lineRule="exact"/>
        <w:ind w:firstLine="640" w:firstLineChars="200"/>
        <w:jc w:val="left"/>
        <w:rPr>
          <w:rFonts w:ascii="Times New Roman" w:hAnsi="Times New Roman" w:eastAsia="仿宋_GB2312"/>
          <w:sz w:val="32"/>
          <w:szCs w:val="32"/>
        </w:rPr>
      </w:pPr>
    </w:p>
    <w:p>
      <w:pPr>
        <w:pStyle w:val="17"/>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工作任务分解表</w:t>
      </w:r>
    </w:p>
    <w:p>
      <w:pPr>
        <w:pStyle w:val="17"/>
        <w:spacing w:line="60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燃气企业安全生产隐患排查统计表</w:t>
      </w:r>
    </w:p>
    <w:p>
      <w:pPr>
        <w:pStyle w:val="17"/>
        <w:spacing w:line="60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管道燃气非居民用户燃气设施安全自查表</w:t>
      </w:r>
    </w:p>
    <w:p>
      <w:pPr>
        <w:pStyle w:val="17"/>
        <w:spacing w:line="60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瓶装液化气非居民用户燃气设施安全自查表</w:t>
      </w:r>
    </w:p>
    <w:p>
      <w:pPr>
        <w:pStyle w:val="17"/>
        <w:spacing w:line="60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报警装置专项工作统计表</w:t>
      </w:r>
    </w:p>
    <w:p>
      <w:pPr>
        <w:pStyle w:val="17"/>
        <w:spacing w:line="60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老旧小区燃气安全风险隐患排查整治统计表</w:t>
      </w:r>
    </w:p>
    <w:p>
      <w:pPr>
        <w:pStyle w:val="17"/>
        <w:spacing w:line="60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燃气建设单位隐患排查统计表</w:t>
      </w:r>
    </w:p>
    <w:p>
      <w:pPr>
        <w:pStyle w:val="17"/>
        <w:spacing w:line="60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瓶装液化石油气专项工作统计表</w:t>
      </w:r>
    </w:p>
    <w:p>
      <w:pPr>
        <w:pStyle w:val="17"/>
        <w:spacing w:line="60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数字化专项工作统计表</w:t>
      </w:r>
    </w:p>
    <w:p>
      <w:pPr>
        <w:pStyle w:val="17"/>
        <w:spacing w:line="60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城镇燃气安全排查整治信息统计表</w:t>
      </w:r>
    </w:p>
    <w:p>
      <w:pPr>
        <w:pStyle w:val="17"/>
        <w:spacing w:line="60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城镇燃气重大安全风险隐患排查整治统计表</w:t>
      </w:r>
    </w:p>
    <w:p>
      <w:pPr>
        <w:pStyle w:val="17"/>
        <w:spacing w:line="600" w:lineRule="exact"/>
        <w:ind w:left="0" w:leftChars="0" w:firstLine="0" w:firstLineChars="0"/>
        <w:jc w:val="left"/>
        <w:rPr>
          <w:rFonts w:hint="eastAsia" w:ascii="仿宋_GB2312" w:hAnsi="仿宋_GB2312" w:eastAsia="仿宋_GB2312" w:cs="仿宋_GB2312"/>
          <w:sz w:val="32"/>
          <w:szCs w:val="32"/>
        </w:rPr>
      </w:pPr>
      <w:bookmarkStart w:id="1" w:name="_GoBack"/>
      <w:bookmarkEnd w:id="1"/>
    </w:p>
    <w:p>
      <w:pPr>
        <w:pStyle w:val="17"/>
        <w:spacing w:line="600" w:lineRule="exact"/>
        <w:ind w:firstLine="5120" w:firstLineChars="16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2022年1月4日</w:t>
      </w:r>
    </w:p>
    <w:p>
      <w:pPr>
        <w:pStyle w:val="17"/>
        <w:spacing w:line="600" w:lineRule="exact"/>
        <w:ind w:firstLine="473" w:firstLineChars="148"/>
        <w:jc w:val="left"/>
        <w:rPr>
          <w:rFonts w:ascii="Times New Roman" w:hAnsi="Times New Roman" w:eastAsia="仿宋_GB2312"/>
          <w:sz w:val="32"/>
          <w:szCs w:val="32"/>
        </w:rPr>
      </w:pPr>
    </w:p>
    <w:p>
      <w:pPr>
        <w:pStyle w:val="17"/>
        <w:spacing w:line="600" w:lineRule="exact"/>
        <w:ind w:firstLine="0" w:firstLineChars="0"/>
        <w:jc w:val="left"/>
        <w:rPr>
          <w:rFonts w:ascii="Times New Roman" w:hAnsi="Times New Roman" w:eastAsia="仿宋_GB2312"/>
          <w:sz w:val="32"/>
          <w:szCs w:val="32"/>
        </w:rPr>
        <w:sectPr>
          <w:footerReference r:id="rId3" w:type="default"/>
          <w:pgSz w:w="11906" w:h="16838"/>
          <w:pgMar w:top="1560" w:right="1800" w:bottom="1702" w:left="1800" w:header="851" w:footer="1587" w:gutter="0"/>
          <w:pgNumType w:fmt="decimal" w:start="2"/>
          <w:cols w:space="720" w:num="1"/>
          <w:docGrid w:type="lines" w:linePitch="312" w:charSpace="0"/>
        </w:sectPr>
      </w:pPr>
    </w:p>
    <w:p>
      <w:pPr>
        <w:pStyle w:val="17"/>
        <w:spacing w:line="600" w:lineRule="exact"/>
        <w:ind w:firstLine="0" w:firstLineChars="0"/>
        <w:jc w:val="left"/>
        <w:rPr>
          <w:rFonts w:ascii="Times New Roman" w:hAnsi="Times New Roman" w:eastAsia="仿宋_GB2312"/>
          <w:sz w:val="32"/>
          <w:szCs w:val="32"/>
        </w:rPr>
      </w:pPr>
      <w:bookmarkStart w:id="0" w:name="_Hlk91625715"/>
      <w:r>
        <w:rPr>
          <w:rFonts w:hint="eastAsia" w:ascii="仿宋_GB2312" w:hAnsi="仿宋_GB2312" w:eastAsia="仿宋_GB2312" w:cs="仿宋_GB2312"/>
          <w:sz w:val="32"/>
          <w:szCs w:val="32"/>
        </w:rPr>
        <w:t>附件1</w:t>
      </w:r>
    </w:p>
    <w:p>
      <w:pPr>
        <w:pStyle w:val="17"/>
        <w:spacing w:line="600" w:lineRule="exact"/>
        <w:ind w:firstLine="0" w:firstLineChars="0"/>
        <w:jc w:val="center"/>
        <w:rPr>
          <w:rFonts w:ascii="黑体" w:hAnsi="黑体" w:eastAsia="黑体"/>
          <w:sz w:val="32"/>
          <w:szCs w:val="32"/>
        </w:rPr>
      </w:pPr>
      <w:r>
        <w:rPr>
          <w:rFonts w:hint="eastAsia" w:ascii="黑体" w:hAnsi="黑体" w:eastAsia="黑体"/>
          <w:sz w:val="32"/>
          <w:szCs w:val="32"/>
        </w:rPr>
        <w:t>工作任务分解表</w:t>
      </w:r>
    </w:p>
    <w:tbl>
      <w:tblPr>
        <w:tblStyle w:val="7"/>
        <w:tblW w:w="5000" w:type="pct"/>
        <w:tblInd w:w="0" w:type="dxa"/>
        <w:tblLayout w:type="autofit"/>
        <w:tblCellMar>
          <w:top w:w="0" w:type="dxa"/>
          <w:left w:w="108" w:type="dxa"/>
          <w:bottom w:w="0" w:type="dxa"/>
          <w:right w:w="108" w:type="dxa"/>
        </w:tblCellMar>
      </w:tblPr>
      <w:tblGrid>
        <w:gridCol w:w="3368"/>
        <w:gridCol w:w="5385"/>
        <w:gridCol w:w="2127"/>
        <w:gridCol w:w="1470"/>
        <w:gridCol w:w="1444"/>
      </w:tblGrid>
      <w:tr>
        <w:tblPrEx>
          <w:tblCellMar>
            <w:top w:w="0" w:type="dxa"/>
            <w:left w:w="108" w:type="dxa"/>
            <w:bottom w:w="0" w:type="dxa"/>
            <w:right w:w="108" w:type="dxa"/>
          </w:tblCellMar>
        </w:tblPrEx>
        <w:trPr>
          <w:tblHeader/>
        </w:trPr>
        <w:tc>
          <w:tcPr>
            <w:tcW w:w="12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工作任务</w:t>
            </w:r>
          </w:p>
        </w:tc>
        <w:tc>
          <w:tcPr>
            <w:tcW w:w="19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工作内容</w:t>
            </w:r>
          </w:p>
        </w:tc>
        <w:tc>
          <w:tcPr>
            <w:tcW w:w="77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时间要求</w:t>
            </w:r>
          </w:p>
        </w:tc>
        <w:tc>
          <w:tcPr>
            <w:tcW w:w="5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责任单位</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配合单位</w:t>
            </w:r>
          </w:p>
        </w:tc>
      </w:tr>
      <w:tr>
        <w:tblPrEx>
          <w:tblCellMar>
            <w:top w:w="0" w:type="dxa"/>
            <w:left w:w="108" w:type="dxa"/>
            <w:bottom w:w="0" w:type="dxa"/>
            <w:right w:w="108" w:type="dxa"/>
          </w:tblCellMar>
        </w:tblPrEx>
        <w:trPr>
          <w:trHeight w:val="397" w:hRule="atLeast"/>
        </w:trPr>
        <w:tc>
          <w:tcPr>
            <w:tcW w:w="122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1、各燃气企业要全面开展本单位安全生产隐患排查（附件2）,切实完成整改闭环，守住安全生产底线。</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排查整治企业运行维护和抢修人员配备不符合要求。</w:t>
            </w:r>
          </w:p>
        </w:tc>
        <w:tc>
          <w:tcPr>
            <w:tcW w:w="7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022</w:t>
            </w:r>
            <w:r>
              <w:rPr>
                <w:rFonts w:hint="eastAsia" w:ascii="宋体" w:hAnsi="宋体" w:cs="宋体"/>
                <w:kern w:val="0"/>
                <w:sz w:val="24"/>
                <w:szCs w:val="24"/>
              </w:rPr>
              <w:t>年3月底前完成形成排查报表，报送市、区两级燃气管理部门，11月底前完成整治</w:t>
            </w:r>
          </w:p>
        </w:tc>
        <w:tc>
          <w:tcPr>
            <w:tcW w:w="5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各燃气企业</w:t>
            </w:r>
          </w:p>
        </w:tc>
        <w:tc>
          <w:tcPr>
            <w:tcW w:w="52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排查整治安全检测和管网监测设备不足或失效。</w:t>
            </w: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排查整治重大危险源管理缺失。</w:t>
            </w: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排查整治管线检查维护不到位。</w:t>
            </w: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排查整治隐患排查治理不闭合。</w:t>
            </w: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排查整治从业人员无证作业。</w:t>
            </w: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排查整治“三违”行为突出。</w:t>
            </w: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排查整治企业安全管理制度照抄照搬、安全操作规定不健全。</w:t>
            </w: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排查整治入户安检制度不落实。</w:t>
            </w: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397" w:hRule="atLeast"/>
        </w:trPr>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排查整治应急预案和演练流于形式。</w:t>
            </w: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2、各燃气企业要加强一线作业人员和应急抢险队伍培训，严格持证上岗，杜绝违法违规操作，提升现场处置能力。</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加强一线作业人员和应急抢险队伍安全培训，严格持证上岗。</w:t>
            </w:r>
          </w:p>
        </w:tc>
        <w:tc>
          <w:tcPr>
            <w:tcW w:w="7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022</w:t>
            </w:r>
            <w:r>
              <w:rPr>
                <w:rFonts w:hint="eastAsia" w:ascii="宋体" w:hAnsi="宋体" w:cs="宋体"/>
                <w:kern w:val="0"/>
                <w:sz w:val="24"/>
                <w:szCs w:val="24"/>
              </w:rPr>
              <w:t>年3月底前完成形成排查报表，报送市、区两级燃气管理部门，11月底前完成整治</w:t>
            </w:r>
          </w:p>
        </w:tc>
        <w:tc>
          <w:tcPr>
            <w:tcW w:w="5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各燃气企业</w:t>
            </w:r>
          </w:p>
        </w:tc>
        <w:tc>
          <w:tcPr>
            <w:tcW w:w="52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严格自查、杜绝人员违法违规操作。</w:t>
            </w: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开展培训，提升专业处置人员对现场潜在风险源有效辨识能力。</w:t>
            </w: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3、燃气管理部门要严格燃气市场准入,整顿燃气经营市场秩序，淘汰一批供应保障能力弱，设施设备基础差，安全管理水平低的企业，提升燃气企业整体安全管理运营能力。</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对不符合条件的燃气经营企业要严格依法予以取缔或吊销燃气经营许可等，加快淘汰一批基础差、安全管理水平低的企业。</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全年开展</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市、区两级燃气管理部门</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4、燃气经营企业要对燃气用户开展用气安全隐患排查工作；要指导和协助燃气用户开展燃气安全隐患自查（附件3、4）；要配合各行业领域主管部门组织开展的人员密集场所安全隐患排查工作。</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开展用户安检和隐患整改</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全年开展</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各燃气经营企业</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非居民燃气用户</w:t>
            </w:r>
          </w:p>
        </w:tc>
      </w:tr>
      <w:tr>
        <w:tblPrEx>
          <w:tblCellMar>
            <w:top w:w="0" w:type="dxa"/>
            <w:left w:w="108" w:type="dxa"/>
            <w:bottom w:w="0" w:type="dxa"/>
            <w:right w:w="108" w:type="dxa"/>
          </w:tblCellMar>
        </w:tblPrEx>
        <w:tc>
          <w:tcPr>
            <w:tcW w:w="1221" w:type="pct"/>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非居民燃气用户开展燃气安全隐患自查。</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每月开展</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非居民燃气用户</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各燃气经营企业</w:t>
            </w:r>
          </w:p>
        </w:tc>
      </w:tr>
      <w:tr>
        <w:tblPrEx>
          <w:tblCellMar>
            <w:top w:w="0" w:type="dxa"/>
            <w:left w:w="108" w:type="dxa"/>
            <w:bottom w:w="0" w:type="dxa"/>
            <w:right w:w="108" w:type="dxa"/>
          </w:tblCellMar>
        </w:tblPrEx>
        <w:tc>
          <w:tcPr>
            <w:tcW w:w="1221" w:type="pct"/>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排查燃气管道被违规占压、穿越密闭空间。</w:t>
            </w:r>
          </w:p>
        </w:tc>
        <w:tc>
          <w:tcPr>
            <w:tcW w:w="7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022</w:t>
            </w:r>
            <w:r>
              <w:rPr>
                <w:rFonts w:hint="eastAsia" w:ascii="宋体" w:hAnsi="宋体" w:cs="宋体"/>
                <w:kern w:val="0"/>
                <w:sz w:val="24"/>
                <w:szCs w:val="24"/>
              </w:rPr>
              <w:t>年3月底前完成形成排查报表，由燃气企业报送市、区两级燃气管理部门，11月底前完成整治</w:t>
            </w:r>
          </w:p>
        </w:tc>
        <w:tc>
          <w:tcPr>
            <w:tcW w:w="53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各燃气经营企业、各区燃气管理部门</w:t>
            </w:r>
          </w:p>
        </w:tc>
        <w:tc>
          <w:tcPr>
            <w:tcW w:w="52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各行业领域主管部门、各街镇配合</w:t>
            </w:r>
          </w:p>
        </w:tc>
      </w:tr>
      <w:tr>
        <w:tblPrEx>
          <w:tblCellMar>
            <w:top w:w="0" w:type="dxa"/>
            <w:left w:w="108" w:type="dxa"/>
            <w:bottom w:w="0" w:type="dxa"/>
            <w:right w:w="108" w:type="dxa"/>
          </w:tblCellMar>
        </w:tblPrEx>
        <w:tc>
          <w:tcPr>
            <w:tcW w:w="1221" w:type="pct"/>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排查气瓶间违规设置在地下室和半地下室内、擅自将气瓶放置于室内用餐场所。</w:t>
            </w: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排查使用不合格的气瓶、灶具、连接软管和减压阀，私接“三通”。</w:t>
            </w: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排查不安装可燃气体报警装置或安装位置不正确、适用气种不符或功能过期失效。</w:t>
            </w: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5、燃气经营企业要根据《安全生产法》（2021版）和《上海市燃气管理条例》规定，严格把关安全用气条件，配合各行业领域主管部门共同推动可燃气体报警装置安装工作（附件5）。</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开展燃气安全教育和使用燃气的餐饮用户落实新修订的《安全生产法》中安装可燃气体报警装置的宣传。</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全年开展</w:t>
            </w:r>
          </w:p>
        </w:tc>
        <w:tc>
          <w:tcPr>
            <w:tcW w:w="53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各燃气经营企业、各区燃气管理部门、各行业领域主管部门、各街镇</w:t>
            </w:r>
          </w:p>
        </w:tc>
        <w:tc>
          <w:tcPr>
            <w:tcW w:w="52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对未安装可燃气体报警装置用户形成分行业整改用户列表，配合各行业领域主管部门和街镇可燃气体报警装置安装推进工作。</w:t>
            </w:r>
          </w:p>
        </w:tc>
        <w:tc>
          <w:tcPr>
            <w:tcW w:w="77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022</w:t>
            </w:r>
            <w:r>
              <w:rPr>
                <w:rFonts w:hint="eastAsia" w:ascii="宋体" w:hAnsi="宋体" w:cs="宋体"/>
                <w:kern w:val="0"/>
                <w:sz w:val="24"/>
                <w:szCs w:val="24"/>
              </w:rPr>
              <w:t>年3月底前，燃气经营企业要完成排查报表，制定完成验收标准，报送市、区两级管理部门</w:t>
            </w:r>
          </w:p>
        </w:tc>
        <w:tc>
          <w:tcPr>
            <w:tcW w:w="53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做好可燃气体报警装置的安装指导服务,充分考虑不同规模各类餐饮生产经营单位的特殊性制定和公开验收标准。</w:t>
            </w:r>
          </w:p>
        </w:tc>
        <w:tc>
          <w:tcPr>
            <w:tcW w:w="77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根据优化营商环境的相关要求，公示办事流程和各类收费信息，参与餐饮生产经营单位可燃气体报警装置的验收。</w:t>
            </w:r>
          </w:p>
        </w:tc>
        <w:tc>
          <w:tcPr>
            <w:tcW w:w="77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全年开展，2</w:t>
            </w:r>
            <w:r>
              <w:rPr>
                <w:rFonts w:ascii="宋体" w:hAnsi="宋体" w:cs="宋体"/>
                <w:kern w:val="0"/>
                <w:sz w:val="24"/>
                <w:szCs w:val="24"/>
              </w:rPr>
              <w:t>022</w:t>
            </w:r>
            <w:r>
              <w:rPr>
                <w:rFonts w:hint="eastAsia" w:ascii="宋体" w:hAnsi="宋体" w:cs="宋体"/>
                <w:kern w:val="0"/>
                <w:sz w:val="24"/>
                <w:szCs w:val="24"/>
              </w:rPr>
              <w:t>年11月底前，燃气经营企业完成信息数据库并报送市、区两级管理部门</w:t>
            </w:r>
          </w:p>
        </w:tc>
        <w:tc>
          <w:tcPr>
            <w:tcW w:w="53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餐饮生产经营单位新装可燃气体报警装置应在上海市住房和城乡建设委员会销售备案且列入有监控平台的燃气报警装置目录中选择产品。产品应具有报警装置状态信息接入远程集中监控平台功能。燃气经营企业不得限定用户购买其指定的产品，不得限定用户接受其指定的服务。</w:t>
            </w:r>
          </w:p>
        </w:tc>
        <w:tc>
          <w:tcPr>
            <w:tcW w:w="77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应建立可燃气体报警装置信息数据库，逐步推进可燃气体报警装置远程集中监控平台建设。</w:t>
            </w:r>
          </w:p>
        </w:tc>
        <w:tc>
          <w:tcPr>
            <w:tcW w:w="77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6、各区燃气管理部门会同街镇牵头，燃气经营企业全面排查老旧小区内燃气安全隐患（附件6）。</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排查老旧小区燃气管道、调压站、燃气引入管、立管以及管道穿越楼板部位安全隐患。</w:t>
            </w:r>
          </w:p>
        </w:tc>
        <w:tc>
          <w:tcPr>
            <w:tcW w:w="77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全年开展</w:t>
            </w:r>
          </w:p>
        </w:tc>
        <w:tc>
          <w:tcPr>
            <w:tcW w:w="53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各区燃气管理部门、各区街镇，各燃气经营企业</w:t>
            </w:r>
          </w:p>
        </w:tc>
        <w:tc>
          <w:tcPr>
            <w:tcW w:w="52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社区</w:t>
            </w: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排查居民用户擅自安装、改装、拆除户内燃气设施和燃气计量装置，室内管道严重锈蚀，使用不合格气瓶、灶具、连接软管和减压阀等风险隐患。</w:t>
            </w:r>
          </w:p>
        </w:tc>
        <w:tc>
          <w:tcPr>
            <w:tcW w:w="77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排查整治小区内违规设置非法储存充装点。</w:t>
            </w:r>
          </w:p>
        </w:tc>
        <w:tc>
          <w:tcPr>
            <w:tcW w:w="771"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53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7、各区建设管理部门、燃气管理部门和燃气经营企业要对在建燃气工程管理环节程序的落实情况进行排查；对燃气管道周边建设项目开展排查，落实燃气管道保护工作要求，打击危害燃气管道安全的行为。</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重点排查整治未按规定将燃气管道工程纳入工程质量安全监管、未依法进行特种设备施工前告知和安装监督检验等问题。对在建市政燃气管道工程项目,要严格对主要管材规范检验，按方案施工，验收合格后方可通气。对燃气管线周边在建项目，严格落实燃气设施保护方案。</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全年开展</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各区建设管理部门、各区燃气管理部门、各燃气经营企业、各燃气建设企业、燃气总包企业</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8、各区建设管理部门、燃气管理部门要严厉打击燃气新建、改造等工程中质量安全不落实、违规发包等违法违规行为。重点落实工程作业人员实名制管理，打击人员挂靠、无证上岗行为。</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各燃气建设单位要落实施工人员实名制管理要求，建立信息平台对项目作业人员、实施单位、履约情况进行汇总，利用大数据分析比对和现场检查信息反馈，主动打击工程转包、违法分包、挂靠等行为。</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全年开展</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各区建设管理部门、各区燃气管理部门</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各燃气建设企业，燃气总包企业</w:t>
            </w:r>
          </w:p>
        </w:tc>
      </w:tr>
      <w:tr>
        <w:tblPrEx>
          <w:tblCellMar>
            <w:top w:w="0" w:type="dxa"/>
            <w:left w:w="108" w:type="dxa"/>
            <w:bottom w:w="0" w:type="dxa"/>
            <w:right w:w="108" w:type="dxa"/>
          </w:tblCellMar>
        </w:tblPrEx>
        <w:tc>
          <w:tcPr>
            <w:tcW w:w="122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9、各区建设管理部门、燃气管理部门要根据本市燃气工程建设管理规定，督促企业落实相关政策要求，确保各类燃气工程依法纳入监管体系（附件7）。同时要梳理、完善燃气工程管理标准及流程。</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要全面落实现有燃气工程建设管理措施，根据现有工程分工，进一步明确部门、职责分工，完善建设管理程序及制度，确保各类燃气工程纳入监管体系，并不断整治未按规定将燃气工程纳入工程质量安全监管情况；督促各燃气建设单位落实工程管理主体责任，强化管理落实参建各方在执行燃气工程项目规范、技术标准，材料验收、按图施工、工程管控体系，作业监护、投运试验等规定，切实加大工程监管力度。</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全年开展</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各区建设管理部门、各区燃气管理部门</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燃气建设企业、燃气施工企业</w:t>
            </w:r>
          </w:p>
        </w:tc>
      </w:tr>
      <w:tr>
        <w:tblPrEx>
          <w:tblCellMar>
            <w:top w:w="0" w:type="dxa"/>
            <w:left w:w="108" w:type="dxa"/>
            <w:bottom w:w="0" w:type="dxa"/>
            <w:right w:w="108" w:type="dxa"/>
          </w:tblCellMar>
        </w:tblPrEx>
        <w:tc>
          <w:tcPr>
            <w:tcW w:w="122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10、燃气管理部门要配合市场监督管理部门对燃气器具、燃气泄漏报警装置及减压阀等产品质量开展市场抽查和打击假冒伪劣产品的执法行动。燃气管理部门要正面引导。</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配合市场监管部门对现有燃气具、燃气泄漏报警器等产品生产企业进行检查，严禁生产不符合安全标准的燃气具、燃气泄漏报警器及配件和不符合强制性产品认证要求的燃气产品。通过本市燃气器具、燃气泄漏报警装置备案制度，加强对符合标准燃气器具及配件产品的正面引导。</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全年开展</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燃气管理部门配合市场监督管理部门</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各燃气器具、报警器生产企业、各燃气经营企业</w:t>
            </w:r>
          </w:p>
        </w:tc>
      </w:tr>
      <w:tr>
        <w:tblPrEx>
          <w:tblCellMar>
            <w:top w:w="0" w:type="dxa"/>
            <w:left w:w="108" w:type="dxa"/>
            <w:bottom w:w="0" w:type="dxa"/>
            <w:right w:w="108" w:type="dxa"/>
          </w:tblCellMar>
        </w:tblPrEx>
        <w:tc>
          <w:tcPr>
            <w:tcW w:w="122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11、燃气经营企业要全面排查燃气场站设施、燃气管道，摸清家底，梳理隐患风险，重点推进治理。</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全面掌握建设年代、产权归属、管道材质、安全状况等资料，并对2000年前建设的燃气管道设施进行全方位安全评估，提出燃气管道更新改造工作清单及实施计划，纳入年度重点项目统筹推进。</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022</w:t>
            </w:r>
            <w:r>
              <w:rPr>
                <w:rFonts w:hint="eastAsia" w:ascii="宋体" w:hAnsi="宋体" w:cs="宋体"/>
                <w:kern w:val="0"/>
                <w:sz w:val="24"/>
                <w:szCs w:val="24"/>
              </w:rPr>
              <w:t>年3月底前完成工作清单和实施计划，11月底前完成计划</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各燃气经营企业</w:t>
            </w:r>
          </w:p>
        </w:tc>
        <w:tc>
          <w:tcPr>
            <w:tcW w:w="52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重点排查整治易导致重特大事故的老旧管道带病运行、高中压管道被占压、燃气场站设施安全间距不符合要求等突出问题隐患。</w:t>
            </w:r>
          </w:p>
        </w:tc>
        <w:tc>
          <w:tcPr>
            <w:tcW w:w="7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022</w:t>
            </w:r>
            <w:r>
              <w:rPr>
                <w:rFonts w:hint="eastAsia" w:ascii="宋体" w:hAnsi="宋体" w:cs="宋体"/>
                <w:kern w:val="0"/>
                <w:sz w:val="24"/>
                <w:szCs w:val="24"/>
              </w:rPr>
              <w:t>年3月底前完成排查，形成清单，报送市、区两级燃气管理部门，11月底前完成整治</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各燃气经营企业</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排查未依法开展压力容器、压力管道检验检测等违法违规行为。</w:t>
            </w: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各燃气经营企业</w:t>
            </w: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12、燃气管理部门要完善协调机制，督促企业压实主体责任，燃气经营企业要加快推进53公里地下隐患管道整治工作。</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结合本市地下燃气管网普查结果，完善协调机制，压实企业主体责任，加快推进53公里地下隐患管道整治计划。</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2022年6月底前完成整治</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相关燃气经营企业</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相关区燃气管理部门</w:t>
            </w:r>
          </w:p>
        </w:tc>
      </w:tr>
      <w:tr>
        <w:tblPrEx>
          <w:tblCellMar>
            <w:top w:w="0" w:type="dxa"/>
            <w:left w:w="108" w:type="dxa"/>
            <w:bottom w:w="0" w:type="dxa"/>
            <w:right w:w="108" w:type="dxa"/>
          </w:tblCellMar>
        </w:tblPrEx>
        <w:tc>
          <w:tcPr>
            <w:tcW w:w="122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13、燃气经营企业要强化日常燃气管线保护工作，建立健全管道巡查责任制度</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强化日常燃气管线保护工作，建立健全管道巡查责任制度，建立巡查档案。</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022</w:t>
            </w:r>
            <w:r>
              <w:rPr>
                <w:rFonts w:hint="eastAsia" w:ascii="宋体" w:hAnsi="宋体" w:cs="宋体"/>
                <w:kern w:val="0"/>
                <w:sz w:val="24"/>
                <w:szCs w:val="24"/>
              </w:rPr>
              <w:t>年3月底前形成制度，完成当年巡查任务</w:t>
            </w:r>
          </w:p>
        </w:tc>
        <w:tc>
          <w:tcPr>
            <w:tcW w:w="53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各燃气经营企业</w:t>
            </w:r>
          </w:p>
        </w:tc>
        <w:tc>
          <w:tcPr>
            <w:tcW w:w="52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燃气管理部门、各区街镇</w:t>
            </w: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按照“一点一策”，推进占压管道建（构）筑物隐患整治。</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022</w:t>
            </w:r>
            <w:r>
              <w:rPr>
                <w:rFonts w:hint="eastAsia" w:ascii="宋体" w:hAnsi="宋体" w:cs="宋体"/>
                <w:kern w:val="0"/>
                <w:sz w:val="24"/>
                <w:szCs w:val="24"/>
              </w:rPr>
              <w:t>年3月底前完成排查，形成清单，报送市、区两级燃气管理部门，11月底前完成整治</w:t>
            </w:r>
          </w:p>
        </w:tc>
        <w:tc>
          <w:tcPr>
            <w:tcW w:w="5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制定具体措施，有效防范燃气管网设施被外部野蛮施工，造成外损事故。</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022</w:t>
            </w:r>
            <w:r>
              <w:rPr>
                <w:rFonts w:hint="eastAsia" w:ascii="宋体" w:hAnsi="宋体" w:cs="宋体"/>
                <w:kern w:val="0"/>
                <w:sz w:val="24"/>
                <w:szCs w:val="24"/>
              </w:rPr>
              <w:t>年3月底前完成措施制定</w:t>
            </w:r>
          </w:p>
        </w:tc>
        <w:tc>
          <w:tcPr>
            <w:tcW w:w="5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对管龄长、风险大的老旧燃气地下管道加快更新改造。</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全年开展</w:t>
            </w:r>
          </w:p>
        </w:tc>
        <w:tc>
          <w:tcPr>
            <w:tcW w:w="5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制定具体措施，对低压管道加强巡检 、监测工作，完善巡检记录系统。</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022</w:t>
            </w:r>
            <w:r>
              <w:rPr>
                <w:rFonts w:hint="eastAsia" w:ascii="宋体" w:hAnsi="宋体" w:cs="宋体"/>
                <w:kern w:val="0"/>
                <w:sz w:val="24"/>
                <w:szCs w:val="24"/>
              </w:rPr>
              <w:t>年11月底前完成系统建立</w:t>
            </w:r>
          </w:p>
        </w:tc>
        <w:tc>
          <w:tcPr>
            <w:tcW w:w="53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14、燃气经营企业要持续深化瓶装液化气统一配送，严格执行气瓶经营、运输管理规定，确保气瓶信息全过程可追溯</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完善气瓶信息全过程追溯体系建设，配合市场监管部门督促瓶装液化气经营企业加强经营管理、落实主体责任。</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022</w:t>
            </w:r>
            <w:r>
              <w:rPr>
                <w:rFonts w:hint="eastAsia" w:ascii="宋体" w:hAnsi="宋体" w:cs="宋体"/>
                <w:kern w:val="0"/>
                <w:sz w:val="24"/>
                <w:szCs w:val="24"/>
              </w:rPr>
              <w:t>年3月底前完成体系建设，配合工作，全年开展</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各燃气经营企业</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15、燃气经营企业要严格执行实名销售、签订供气合同，提供符合标准的调压器、连接管等产品，建立健全用户安检长效管理机制</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要统一用户订气渠道，结算环节需提供统一销售凭证，通过网络渠道收取费用的，应当使用企业专用账户收款码；要做好每年一次的入户安检并建立台账登记，积极指导用户配合整改，对餐饮经营单位、特别是新开户用户要认真审核用气场所安全条件，存在严重隐患且拒不整改的，坚决落实停供机制。</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全年开展，及时报送</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各液化气经营企业</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16、燃气管理部门要强化多部门协作，通过信息化手段，严厉打击非法贩售、运输、倒灌和用户使用非法液化气等违法行为，切实提高发现率和查处率。</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加强对配送订单信息数据的倒查分析，针对“同一地址大量订气”等异常现象落实专人开展复查，发现违法违规线索的要及时上报属地及相关管理部门。</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全年开展，及时报送</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燃气管理部门</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各区街镇</w:t>
            </w:r>
          </w:p>
        </w:tc>
      </w:tr>
      <w:tr>
        <w:tblPrEx>
          <w:tblCellMar>
            <w:top w:w="0" w:type="dxa"/>
            <w:left w:w="108" w:type="dxa"/>
            <w:bottom w:w="0" w:type="dxa"/>
            <w:right w:w="108" w:type="dxa"/>
          </w:tblCellMar>
        </w:tblPrEx>
        <w:tc>
          <w:tcPr>
            <w:tcW w:w="122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通过属地巡查、市民热线、信访举报以及其他相关渠道主动收集非法瓶装液化气线索，指导街镇积极开展气瓶电子标签信息协查，建立健全与公安、交通、应急消防、市场监管等部门的联动执法工作机制，深挖气源、运输、储存、销售等各环节违法违规行为，开展一次区域联动专项执法、形成典型案例。</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022</w:t>
            </w:r>
            <w:r>
              <w:rPr>
                <w:rFonts w:hint="eastAsia" w:ascii="宋体" w:hAnsi="宋体" w:cs="宋体"/>
                <w:kern w:val="0"/>
                <w:sz w:val="24"/>
                <w:szCs w:val="24"/>
              </w:rPr>
              <w:t>年3月底前完成联动执法工作机制，全年开展</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燃气管理部门、各行业领域主管部门</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各区街镇</w:t>
            </w:r>
          </w:p>
        </w:tc>
      </w:tr>
      <w:tr>
        <w:tblPrEx>
          <w:tblCellMar>
            <w:top w:w="0" w:type="dxa"/>
            <w:left w:w="108" w:type="dxa"/>
            <w:bottom w:w="0" w:type="dxa"/>
            <w:right w:w="108" w:type="dxa"/>
          </w:tblCellMar>
        </w:tblPrEx>
        <w:tc>
          <w:tcPr>
            <w:tcW w:w="122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17、各区落实基层属地监管责任，广泛开展逐户清查整治和社区安全宣传（附件8）。</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压实街道、社区等基层组织责任，将燃气安全与服务纳入社区治理和网格化管理的主要内容，健全和完善燃气安全监管工作的基层组织网络，建立燃气事故救援和处置的信息支撑系统和处置保障体系，提升城市燃气安全管理水平和抗风险能力。要全面加大宣传力度，使燃气用户树立安全用气的意识，引导广大群众自觉保护燃气设施，自觉抵制不合格的连接软管、燃气灶具、减压阀等，掌握燃气器具的正确操作使用方法，掌握防火、防爆等有关自救常识，积极主动配合燃气企业入户进行燃气设施安全检查，鼓励举报燃气供应和使用中的违法、违规行为（事件），确保燃气安全。</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全年开展</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各区街道、社区等基层组织</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18、燃气管理部门要依托城市一网统管和安全发展示范城市创建，建立安全风险监测预警平台（试点）</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结合“一网统管”，加强预警能力建设，推进燃气管理数字化转型，有序推进城市安全风险监测预警平台建设试点，建设燃气数字地图，加强燃气安全运行管控。</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全年开展</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相关区燃气管理部门</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各燃气经营企业</w:t>
            </w:r>
          </w:p>
        </w:tc>
      </w:tr>
      <w:tr>
        <w:tblPrEx>
          <w:tblCellMar>
            <w:top w:w="0" w:type="dxa"/>
            <w:left w:w="108" w:type="dxa"/>
            <w:bottom w:w="0" w:type="dxa"/>
            <w:right w:w="108" w:type="dxa"/>
          </w:tblCellMar>
        </w:tblPrEx>
        <w:tc>
          <w:tcPr>
            <w:tcW w:w="122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19、燃气经营企业要完善主干管网全寿命周期管理体系建设，有序推进燃气管网基础设施数字孪生底座建设。</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持续完善主干管网全寿命周期管理体系建设，探索5G+“无人机”等新型燃气管网巡检技术，有序推进燃气管网基础设施数字孪生底座建设。</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2022年底前完成</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上海天然气管网有限公司</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c>
          <w:tcPr>
            <w:tcW w:w="122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20、燃气经营企业要完善对重要节点的燃气设施的实时监控和预警，预判处置管网隐患，防范管线泄漏事故（附件9）。</w:t>
            </w:r>
          </w:p>
        </w:tc>
        <w:tc>
          <w:tcPr>
            <w:tcW w:w="195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依托燃气数据采集和监控系统（SCADA）平台，完善对重要节点的燃气管道、调压器、阀门井等实时监控和预警，预判处置管网隐患，防范管线泄漏事故。</w:t>
            </w:r>
          </w:p>
        </w:tc>
        <w:tc>
          <w:tcPr>
            <w:tcW w:w="771"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2022年底前完成</w:t>
            </w:r>
          </w:p>
        </w:tc>
        <w:tc>
          <w:tcPr>
            <w:tcW w:w="5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各管道气经营企业</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r>
    </w:tbl>
    <w:p>
      <w:pPr>
        <w:pStyle w:val="17"/>
        <w:ind w:firstLine="0" w:firstLineChars="0"/>
        <w:jc w:val="left"/>
        <w:rPr>
          <w:rFonts w:ascii="宋体" w:hAnsi="宋体"/>
          <w:sz w:val="24"/>
          <w:szCs w:val="24"/>
        </w:rPr>
      </w:pPr>
    </w:p>
    <w:p>
      <w:pPr>
        <w:pStyle w:val="17"/>
        <w:ind w:firstLine="0" w:firstLineChars="0"/>
        <w:jc w:val="left"/>
        <w:rPr>
          <w:rFonts w:ascii="宋体" w:hAnsi="宋体"/>
          <w:sz w:val="24"/>
          <w:szCs w:val="24"/>
        </w:rPr>
      </w:pPr>
      <w:r>
        <w:rPr>
          <w:rFonts w:hint="eastAsia" w:ascii="宋体" w:hAnsi="宋体"/>
          <w:sz w:val="24"/>
          <w:szCs w:val="24"/>
        </w:rPr>
        <w:t>备注：</w:t>
      </w:r>
      <w:r>
        <w:rPr>
          <w:rFonts w:hint="eastAsia" w:ascii="宋体" w:hAnsi="宋体" w:cs="宋体"/>
          <w:kern w:val="0"/>
          <w:sz w:val="24"/>
          <w:szCs w:val="24"/>
        </w:rPr>
        <w:t>本文中</w:t>
      </w:r>
      <w:r>
        <w:rPr>
          <w:rFonts w:hint="eastAsia" w:ascii="宋体" w:hAnsi="宋体"/>
          <w:sz w:val="24"/>
          <w:szCs w:val="24"/>
        </w:rPr>
        <w:t>“各燃气企业”是指“管道气、液化气经营企业、其他非管输企业、燃气总包企业、燃气建设企业、各燃气产品生产销售企业。</w:t>
      </w:r>
    </w:p>
    <w:bookmarkEnd w:id="0"/>
    <w:p>
      <w:pPr>
        <w:pStyle w:val="17"/>
        <w:spacing w:line="600" w:lineRule="exact"/>
        <w:ind w:firstLine="0" w:firstLineChars="0"/>
        <w:jc w:val="left"/>
        <w:rPr>
          <w:rFonts w:ascii="Times New Roman" w:hAnsi="Times New Roman" w:eastAsia="仿宋_GB2312"/>
          <w:sz w:val="32"/>
          <w:szCs w:val="32"/>
        </w:rPr>
      </w:pPr>
      <w:r>
        <w:rPr>
          <w:rFonts w:ascii="Times New Roman" w:hAnsi="Times New Roman" w:eastAsia="仿宋_GB2312"/>
          <w:sz w:val="32"/>
          <w:szCs w:val="32"/>
        </w:rPr>
        <w:br w:type="page"/>
      </w:r>
      <w:r>
        <w:rPr>
          <w:rFonts w:hint="eastAsia" w:ascii="仿宋_GB2312" w:hAnsi="仿宋_GB2312" w:eastAsia="仿宋_GB2312" w:cs="仿宋_GB2312"/>
          <w:sz w:val="32"/>
          <w:szCs w:val="32"/>
        </w:rPr>
        <w:t>附件2</w:t>
      </w:r>
    </w:p>
    <w:p>
      <w:pPr>
        <w:pStyle w:val="17"/>
        <w:spacing w:line="600" w:lineRule="exact"/>
        <w:ind w:firstLine="0" w:firstLineChars="0"/>
        <w:jc w:val="center"/>
        <w:rPr>
          <w:rFonts w:ascii="黑体" w:hAnsi="黑体" w:eastAsia="黑体"/>
          <w:sz w:val="32"/>
          <w:szCs w:val="32"/>
        </w:rPr>
      </w:pPr>
      <w:r>
        <w:rPr>
          <w:rFonts w:hint="eastAsia" w:ascii="黑体" w:hAnsi="黑体" w:eastAsia="黑体"/>
          <w:sz w:val="32"/>
          <w:szCs w:val="32"/>
        </w:rPr>
        <w:t>燃气企业安全生产隐患排查统计表</w:t>
      </w:r>
    </w:p>
    <w:p>
      <w:pPr>
        <w:widowControl/>
        <w:tabs>
          <w:tab w:val="left" w:pos="2958"/>
          <w:tab w:val="left" w:pos="8282"/>
          <w:tab w:val="left" w:pos="9380"/>
          <w:tab w:val="left" w:pos="11703"/>
        </w:tabs>
        <w:jc w:val="left"/>
        <w:rPr>
          <w:rFonts w:ascii="宋体" w:hAnsi="宋体" w:cs="宋体"/>
          <w:kern w:val="0"/>
          <w:sz w:val="24"/>
          <w:szCs w:val="24"/>
        </w:rPr>
      </w:pPr>
    </w:p>
    <w:p>
      <w:pPr>
        <w:widowControl/>
        <w:tabs>
          <w:tab w:val="left" w:pos="2958"/>
          <w:tab w:val="left" w:pos="8282"/>
          <w:tab w:val="left" w:pos="9380"/>
          <w:tab w:val="left" w:pos="11703"/>
        </w:tabs>
        <w:jc w:val="left"/>
        <w:rPr>
          <w:rFonts w:ascii="宋体" w:hAnsi="宋体" w:cs="宋体"/>
          <w:kern w:val="0"/>
          <w:sz w:val="24"/>
          <w:szCs w:val="24"/>
        </w:rPr>
      </w:pPr>
      <w:r>
        <w:rPr>
          <w:rFonts w:hint="eastAsia" w:ascii="宋体" w:hAnsi="宋体" w:cs="宋体"/>
          <w:kern w:val="0"/>
          <w:sz w:val="24"/>
          <w:szCs w:val="24"/>
        </w:rPr>
        <w:t>排查单位：</w:t>
      </w:r>
      <w:r>
        <w:rPr>
          <w:rFonts w:ascii="宋体" w:hAnsi="宋体" w:cs="宋体"/>
          <w:kern w:val="0"/>
          <w:sz w:val="24"/>
          <w:szCs w:val="24"/>
        </w:rPr>
        <w:tab/>
      </w:r>
      <w:r>
        <w:rPr>
          <w:rFonts w:hint="eastAsia" w:ascii="宋体" w:hAnsi="宋体" w:cs="宋体"/>
          <w:kern w:val="0"/>
          <w:sz w:val="24"/>
          <w:szCs w:val="24"/>
        </w:rPr>
        <w:t>　</w:t>
      </w:r>
      <w:r>
        <w:rPr>
          <w:rFonts w:hint="eastAsia" w:ascii="宋体" w:hAnsi="宋体" w:cs="宋体"/>
          <w:kern w:val="0"/>
          <w:sz w:val="24"/>
          <w:szCs w:val="24"/>
        </w:rPr>
        <w:tab/>
      </w:r>
      <w:r>
        <w:rPr>
          <w:rFonts w:hint="eastAsia" w:ascii="宋体" w:hAnsi="宋体" w:cs="宋体"/>
          <w:kern w:val="0"/>
          <w:sz w:val="24"/>
          <w:szCs w:val="24"/>
        </w:rPr>
        <w:t>　</w:t>
      </w:r>
      <w:r>
        <w:rPr>
          <w:rFonts w:hint="eastAsia" w:ascii="宋体" w:hAnsi="宋体" w:cs="宋体"/>
          <w:kern w:val="0"/>
          <w:sz w:val="24"/>
          <w:szCs w:val="24"/>
        </w:rPr>
        <w:tab/>
      </w:r>
      <w:r>
        <w:rPr>
          <w:rFonts w:hint="eastAsia" w:ascii="宋体" w:hAnsi="宋体" w:cs="宋体"/>
          <w:kern w:val="0"/>
          <w:sz w:val="24"/>
          <w:szCs w:val="24"/>
        </w:rPr>
        <w:t>排查时间：</w:t>
      </w:r>
      <w:r>
        <w:rPr>
          <w:rFonts w:hint="eastAsia" w:ascii="宋体" w:hAnsi="宋体" w:cs="宋体"/>
          <w:kern w:val="0"/>
          <w:sz w:val="24"/>
          <w:szCs w:val="24"/>
        </w:rPr>
        <w:tab/>
      </w:r>
      <w:r>
        <w:rPr>
          <w:rFonts w:hint="eastAsia" w:ascii="宋体" w:hAnsi="宋体" w:cs="宋体"/>
          <w:kern w:val="0"/>
          <w:sz w:val="24"/>
          <w:szCs w:val="24"/>
        </w:rPr>
        <w:t>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784"/>
        <w:gridCol w:w="4163"/>
        <w:gridCol w:w="1275"/>
        <w:gridCol w:w="2408"/>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8" w:type="pct"/>
            <w:shd w:val="clear" w:color="auto" w:fill="auto"/>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1009" w:type="pct"/>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工作任务</w:t>
            </w:r>
          </w:p>
        </w:tc>
        <w:tc>
          <w:tcPr>
            <w:tcW w:w="1509" w:type="pct"/>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排查内容</w:t>
            </w:r>
          </w:p>
        </w:tc>
        <w:tc>
          <w:tcPr>
            <w:tcW w:w="462" w:type="pct"/>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有无隐患</w:t>
            </w:r>
          </w:p>
        </w:tc>
        <w:tc>
          <w:tcPr>
            <w:tcW w:w="873" w:type="pct"/>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排查结果综述</w:t>
            </w:r>
          </w:p>
        </w:tc>
        <w:tc>
          <w:tcPr>
            <w:tcW w:w="799" w:type="pct"/>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整改情况综述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restart"/>
            <w:shd w:val="clear" w:color="auto" w:fill="auto"/>
          </w:tcPr>
          <w:p>
            <w:pPr>
              <w:widowControl/>
              <w:jc w:val="center"/>
              <w:rPr>
                <w:rFonts w:ascii="宋体" w:hAnsi="宋体" w:cs="宋体"/>
                <w:kern w:val="0"/>
                <w:sz w:val="24"/>
                <w:szCs w:val="24"/>
              </w:rPr>
            </w:pPr>
            <w:r>
              <w:rPr>
                <w:rFonts w:hint="eastAsia" w:ascii="宋体" w:hAnsi="宋体" w:cs="宋体"/>
                <w:kern w:val="0"/>
                <w:sz w:val="24"/>
                <w:szCs w:val="24"/>
              </w:rPr>
              <w:t>1</w:t>
            </w:r>
          </w:p>
        </w:tc>
        <w:tc>
          <w:tcPr>
            <w:tcW w:w="1009" w:type="pct"/>
            <w:vMerge w:val="restart"/>
            <w:shd w:val="clear" w:color="auto" w:fill="auto"/>
          </w:tcPr>
          <w:p>
            <w:pPr>
              <w:widowControl/>
              <w:jc w:val="left"/>
              <w:rPr>
                <w:rFonts w:ascii="宋体" w:hAnsi="宋体" w:cs="宋体"/>
                <w:kern w:val="0"/>
                <w:sz w:val="24"/>
                <w:szCs w:val="24"/>
              </w:rPr>
            </w:pPr>
            <w:r>
              <w:rPr>
                <w:rFonts w:hint="eastAsia" w:ascii="宋体" w:hAnsi="宋体" w:cs="宋体"/>
                <w:b/>
                <w:bCs/>
                <w:kern w:val="0"/>
                <w:sz w:val="24"/>
                <w:szCs w:val="24"/>
              </w:rPr>
              <w:t>任务分解表第1项：</w:t>
            </w:r>
            <w:r>
              <w:rPr>
                <w:rFonts w:hint="eastAsia" w:ascii="宋体" w:hAnsi="宋体" w:cs="宋体"/>
                <w:kern w:val="0"/>
                <w:sz w:val="24"/>
                <w:szCs w:val="24"/>
              </w:rPr>
              <w:t>各燃气企业全面开展本单位安全生产隐患排查（附件2）,切实完成整改闭环，守住安全生产底线。</w:t>
            </w: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排查整治企业运行维护和抢修人员配备不符合要求（对照燃气许可管理办法相关要求）。</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排查整治安全检测和管网监测设备不足或失效（根据不同业态排查不同方面）。</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排查整治重大危险源管理缺失（梳理、日常管理、评估、报送）。</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排查整治管线检查维护不到位（方案、执行情况、）。</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排查整治隐患排查治理不闭合。</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排查整治从业人员无证作业。</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排查整治“三违”行为突出（违章指挥，违章作业，违反劳动纪律）。</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排查整治企业安全管理制度照抄照搬、安全操作规定不健全。</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排查整治入户安检制度不落实。</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排查整治应急预案和演练流于形式。</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restart"/>
            <w:shd w:val="clear" w:color="auto" w:fill="auto"/>
          </w:tcPr>
          <w:p>
            <w:pPr>
              <w:widowControl/>
              <w:jc w:val="center"/>
              <w:rPr>
                <w:rFonts w:ascii="宋体" w:hAnsi="宋体" w:cs="宋体"/>
                <w:kern w:val="0"/>
                <w:sz w:val="24"/>
                <w:szCs w:val="24"/>
              </w:rPr>
            </w:pPr>
            <w:r>
              <w:rPr>
                <w:rFonts w:hint="eastAsia" w:ascii="宋体" w:hAnsi="宋体" w:cs="宋体"/>
                <w:kern w:val="0"/>
                <w:sz w:val="24"/>
                <w:szCs w:val="24"/>
              </w:rPr>
              <w:t>2</w:t>
            </w:r>
          </w:p>
        </w:tc>
        <w:tc>
          <w:tcPr>
            <w:tcW w:w="1009" w:type="pct"/>
            <w:vMerge w:val="restart"/>
            <w:shd w:val="clear" w:color="auto" w:fill="auto"/>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2</w:t>
            </w:r>
            <w:r>
              <w:rPr>
                <w:rFonts w:hint="eastAsia" w:ascii="宋体" w:hAnsi="宋体" w:cs="宋体"/>
                <w:b/>
                <w:bCs/>
                <w:kern w:val="0"/>
                <w:sz w:val="24"/>
                <w:szCs w:val="24"/>
              </w:rPr>
              <w:t>项：</w:t>
            </w:r>
            <w:r>
              <w:rPr>
                <w:rFonts w:hint="eastAsia" w:ascii="宋体" w:hAnsi="宋体" w:cs="宋体"/>
                <w:kern w:val="0"/>
                <w:sz w:val="24"/>
                <w:szCs w:val="24"/>
              </w:rPr>
              <w:t>各燃气企业加强一线作业人员和应急抢险队伍培训，严格持证上岗，杜绝违法违规操作，提升现场处置能力。</w:t>
            </w: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加强一线作业人员和应急抢险队伍安全培训，严格持证上岗。</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严格自查、杜绝人员违法违规操作。</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开展培训，提升专业处置人员对现场潜在风险源有效辨识能力。</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shd w:val="clear" w:color="auto" w:fill="auto"/>
          </w:tcPr>
          <w:p>
            <w:pPr>
              <w:widowControl/>
              <w:jc w:val="center"/>
              <w:rPr>
                <w:rFonts w:ascii="宋体" w:hAnsi="宋体" w:cs="宋体"/>
                <w:kern w:val="0"/>
                <w:sz w:val="24"/>
                <w:szCs w:val="24"/>
              </w:rPr>
            </w:pPr>
            <w:r>
              <w:rPr>
                <w:rFonts w:hint="eastAsia" w:ascii="宋体" w:hAnsi="宋体" w:cs="宋体"/>
                <w:kern w:val="0"/>
                <w:sz w:val="24"/>
                <w:szCs w:val="24"/>
              </w:rPr>
              <w:t>3</w:t>
            </w:r>
          </w:p>
        </w:tc>
        <w:tc>
          <w:tcPr>
            <w:tcW w:w="1009" w:type="pct"/>
            <w:shd w:val="clear" w:color="auto" w:fill="auto"/>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3</w:t>
            </w:r>
            <w:r>
              <w:rPr>
                <w:rFonts w:hint="eastAsia" w:ascii="宋体" w:hAnsi="宋体" w:cs="宋体"/>
                <w:b/>
                <w:bCs/>
                <w:kern w:val="0"/>
                <w:sz w:val="24"/>
                <w:szCs w:val="24"/>
              </w:rPr>
              <w:t>项：</w:t>
            </w:r>
            <w:r>
              <w:rPr>
                <w:rFonts w:hint="eastAsia" w:ascii="宋体" w:hAnsi="宋体" w:cs="宋体"/>
                <w:kern w:val="0"/>
                <w:sz w:val="24"/>
                <w:szCs w:val="24"/>
              </w:rPr>
              <w:t>燃气管理部门严格燃气市场准入,整顿燃气经营市场秩序，淘汰一批供应保障能力弱，设施设备基础差，安全管理水平低的企业，提升燃气企业整体安全管理运营能力。</w:t>
            </w: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对不符合条件的燃气经营企业要严格依法予以取缔或吊销燃气经营许可等，加快淘汰一批基础差、安全管理水平低的企业。</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noWrap/>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restart"/>
            <w:shd w:val="clear" w:color="auto" w:fill="auto"/>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009" w:type="pct"/>
            <w:vMerge w:val="restart"/>
            <w:shd w:val="clear" w:color="auto" w:fill="auto"/>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4</w:t>
            </w:r>
            <w:r>
              <w:rPr>
                <w:rFonts w:hint="eastAsia" w:ascii="宋体" w:hAnsi="宋体" w:cs="宋体"/>
                <w:b/>
                <w:bCs/>
                <w:kern w:val="0"/>
                <w:sz w:val="24"/>
                <w:szCs w:val="24"/>
              </w:rPr>
              <w:t>项：</w:t>
            </w:r>
            <w:r>
              <w:rPr>
                <w:rFonts w:hint="eastAsia" w:ascii="宋体" w:hAnsi="宋体" w:cs="宋体"/>
                <w:kern w:val="0"/>
                <w:sz w:val="24"/>
                <w:szCs w:val="24"/>
              </w:rPr>
              <w:t>燃气经营企业要配合各行业领域主管部门组织开展的人员密集场所燃气安全隐患排查工作。要指导和协助燃气用户开展燃气安全隐患自查（附件3、4）。</w:t>
            </w: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排查非居民燃气用户开展燃气安全隐患自查。</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noWrap/>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排查燃气管道被违规占压、穿越密闭空间。</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排查气瓶间违规设置在地下室和半地下室内、擅自将气瓶放置于室内用餐场所。</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排查使用不合格的气瓶、灶具、连接软管和减压阀，私接“三通”。</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restart"/>
            <w:shd w:val="clear" w:color="auto" w:fill="auto"/>
          </w:tcPr>
          <w:p>
            <w:pPr>
              <w:widowControl/>
              <w:jc w:val="center"/>
              <w:rPr>
                <w:rFonts w:ascii="宋体" w:hAnsi="宋体" w:cs="宋体"/>
                <w:kern w:val="0"/>
                <w:sz w:val="24"/>
                <w:szCs w:val="24"/>
              </w:rPr>
            </w:pPr>
            <w:r>
              <w:rPr>
                <w:rFonts w:hint="eastAsia" w:ascii="宋体" w:hAnsi="宋体" w:cs="宋体"/>
                <w:kern w:val="0"/>
                <w:sz w:val="24"/>
                <w:szCs w:val="24"/>
              </w:rPr>
              <w:t>5</w:t>
            </w:r>
          </w:p>
        </w:tc>
        <w:tc>
          <w:tcPr>
            <w:tcW w:w="1009" w:type="pct"/>
            <w:vMerge w:val="restart"/>
            <w:shd w:val="clear" w:color="auto" w:fill="auto"/>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6</w:t>
            </w:r>
            <w:r>
              <w:rPr>
                <w:rFonts w:hint="eastAsia" w:ascii="宋体" w:hAnsi="宋体" w:cs="宋体"/>
                <w:b/>
                <w:bCs/>
                <w:kern w:val="0"/>
                <w:sz w:val="24"/>
                <w:szCs w:val="24"/>
              </w:rPr>
              <w:t>项：</w:t>
            </w:r>
            <w:r>
              <w:rPr>
                <w:rFonts w:hint="eastAsia" w:ascii="宋体" w:hAnsi="宋体" w:cs="宋体"/>
                <w:kern w:val="0"/>
                <w:sz w:val="24"/>
                <w:szCs w:val="24"/>
              </w:rPr>
              <w:t>各区燃气管理部门会同街镇牵头，燃气经营企业全面排查老旧小区内燃气安全隐患（附件6）。</w:t>
            </w: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排查老旧小区燃气管道、调压站、燃气引入管、立管以及管道穿越楼板部位安全隐患。</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排查居民用户擅自安装、改装、拆除户内燃气设施和燃气计量装置，室内管道严重锈蚀，使用不合格气瓶、灶具、连接软管和减压阀等风险隐患。</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排查整治小区内违规设置非法储存充装点。</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restart"/>
            <w:shd w:val="clear" w:color="auto" w:fill="auto"/>
          </w:tcPr>
          <w:p>
            <w:pPr>
              <w:widowControl/>
              <w:jc w:val="center"/>
              <w:rPr>
                <w:rFonts w:ascii="宋体" w:hAnsi="宋体" w:cs="宋体"/>
                <w:kern w:val="0"/>
                <w:sz w:val="24"/>
                <w:szCs w:val="24"/>
              </w:rPr>
            </w:pPr>
            <w:r>
              <w:rPr>
                <w:rFonts w:hint="eastAsia" w:ascii="宋体" w:hAnsi="宋体" w:cs="宋体"/>
                <w:kern w:val="0"/>
                <w:sz w:val="24"/>
                <w:szCs w:val="24"/>
              </w:rPr>
              <w:t>6</w:t>
            </w:r>
          </w:p>
        </w:tc>
        <w:tc>
          <w:tcPr>
            <w:tcW w:w="1009" w:type="pct"/>
            <w:vMerge w:val="restart"/>
            <w:shd w:val="clear" w:color="auto" w:fill="auto"/>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11</w:t>
            </w:r>
            <w:r>
              <w:rPr>
                <w:rFonts w:hint="eastAsia" w:ascii="宋体" w:hAnsi="宋体" w:cs="宋体"/>
                <w:b/>
                <w:bCs/>
                <w:kern w:val="0"/>
                <w:sz w:val="24"/>
                <w:szCs w:val="24"/>
              </w:rPr>
              <w:t>项：</w:t>
            </w:r>
            <w:r>
              <w:rPr>
                <w:rFonts w:hint="eastAsia" w:ascii="宋体" w:hAnsi="宋体" w:cs="宋体"/>
                <w:kern w:val="0"/>
                <w:sz w:val="24"/>
                <w:szCs w:val="24"/>
              </w:rPr>
              <w:t>燃气经营企业要全面排查燃气场站设施、燃气管道，摸清家底，梳理隐患风险，重点推进治理。</w:t>
            </w: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全面掌握建设年代、产权归属、管道材质、安全状况等资料，并对2000年前建设的燃气管道设施进行全方位安全评估，提出燃气管道更新改造工作清单及实施计划，纳入年度重点项目统筹推进。</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重点排查整治易导致重特大事故的老旧管道带病运行、高中压管道被占压、燃气场站设施安全间距不符合要求等突出问题隐患。</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排查未依法开展压力容器、压力管道检验检测等违法违规行为。</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shd w:val="clear" w:color="auto" w:fill="auto"/>
          </w:tcPr>
          <w:p>
            <w:pPr>
              <w:widowControl/>
              <w:jc w:val="center"/>
              <w:rPr>
                <w:rFonts w:ascii="宋体" w:hAnsi="宋体" w:cs="宋体"/>
                <w:kern w:val="0"/>
                <w:sz w:val="24"/>
                <w:szCs w:val="24"/>
              </w:rPr>
            </w:pPr>
            <w:r>
              <w:rPr>
                <w:rFonts w:hint="eastAsia" w:ascii="宋体" w:hAnsi="宋体" w:cs="宋体"/>
                <w:kern w:val="0"/>
                <w:sz w:val="24"/>
                <w:szCs w:val="24"/>
              </w:rPr>
              <w:t>7</w:t>
            </w:r>
          </w:p>
        </w:tc>
        <w:tc>
          <w:tcPr>
            <w:tcW w:w="1009" w:type="pct"/>
            <w:shd w:val="clear" w:color="auto" w:fill="auto"/>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12</w:t>
            </w:r>
            <w:r>
              <w:rPr>
                <w:rFonts w:hint="eastAsia" w:ascii="宋体" w:hAnsi="宋体" w:cs="宋体"/>
                <w:b/>
                <w:bCs/>
                <w:kern w:val="0"/>
                <w:sz w:val="24"/>
                <w:szCs w:val="24"/>
              </w:rPr>
              <w:t>项：</w:t>
            </w:r>
            <w:r>
              <w:rPr>
                <w:rFonts w:hint="eastAsia" w:ascii="宋体" w:hAnsi="宋体" w:cs="宋体"/>
                <w:kern w:val="0"/>
                <w:sz w:val="24"/>
                <w:szCs w:val="24"/>
              </w:rPr>
              <w:t>燃气管理部门要完善协调机制，督促企业压实主体责任，燃气经营企业要加快推进53公里地下隐患管道整治工作。</w:t>
            </w: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结合本市地下燃气管网普查结果，完善协调机制，压实企业主体责任，加快推进53公里地下隐患管道整治计划。</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restart"/>
            <w:shd w:val="clear" w:color="auto" w:fill="auto"/>
          </w:tcPr>
          <w:p>
            <w:pPr>
              <w:widowControl/>
              <w:jc w:val="center"/>
              <w:rPr>
                <w:rFonts w:ascii="宋体" w:hAnsi="宋体" w:cs="宋体"/>
                <w:kern w:val="0"/>
                <w:sz w:val="24"/>
                <w:szCs w:val="24"/>
              </w:rPr>
            </w:pPr>
            <w:r>
              <w:rPr>
                <w:rFonts w:hint="eastAsia" w:ascii="宋体" w:hAnsi="宋体" w:cs="宋体"/>
                <w:kern w:val="0"/>
                <w:sz w:val="24"/>
                <w:szCs w:val="24"/>
              </w:rPr>
              <w:t>8</w:t>
            </w:r>
          </w:p>
        </w:tc>
        <w:tc>
          <w:tcPr>
            <w:tcW w:w="1009" w:type="pct"/>
            <w:vMerge w:val="restart"/>
            <w:shd w:val="clear" w:color="auto" w:fill="auto"/>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13</w:t>
            </w:r>
            <w:r>
              <w:rPr>
                <w:rFonts w:hint="eastAsia" w:ascii="宋体" w:hAnsi="宋体" w:cs="宋体"/>
                <w:b/>
                <w:bCs/>
                <w:kern w:val="0"/>
                <w:sz w:val="24"/>
                <w:szCs w:val="24"/>
              </w:rPr>
              <w:t>项：</w:t>
            </w:r>
            <w:r>
              <w:rPr>
                <w:rFonts w:hint="eastAsia" w:ascii="宋体" w:hAnsi="宋体" w:cs="宋体"/>
                <w:kern w:val="0"/>
                <w:sz w:val="24"/>
                <w:szCs w:val="24"/>
              </w:rPr>
              <w:t>燃气经营企业要强化日常燃气管线保护工作，建立健全管道巡查责任制度。</w:t>
            </w: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强化日常燃气管线保护工作，建立健全管道巡查责任制度，建立巡查档案。</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按照“一点一策”，推进占压管道建（构）筑物隐患整治。</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制定具体措施，有效防范燃气管网设施被外部野蛮施工，造成外损事故。</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对管龄长、风险大的老旧燃气地下管道加快更新改造。</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8" w:type="pct"/>
            <w:vMerge w:val="continue"/>
            <w:shd w:val="clear" w:color="auto" w:fill="auto"/>
          </w:tcPr>
          <w:p>
            <w:pPr>
              <w:widowControl/>
              <w:jc w:val="center"/>
              <w:rPr>
                <w:rFonts w:ascii="宋体" w:hAnsi="宋体" w:cs="宋体"/>
                <w:kern w:val="0"/>
                <w:sz w:val="24"/>
                <w:szCs w:val="24"/>
              </w:rPr>
            </w:pPr>
          </w:p>
        </w:tc>
        <w:tc>
          <w:tcPr>
            <w:tcW w:w="1009" w:type="pct"/>
            <w:vMerge w:val="continue"/>
            <w:shd w:val="clear" w:color="auto" w:fill="auto"/>
          </w:tcPr>
          <w:p>
            <w:pPr>
              <w:widowControl/>
              <w:jc w:val="left"/>
              <w:rPr>
                <w:rFonts w:ascii="宋体" w:hAnsi="宋体" w:cs="宋体"/>
                <w:kern w:val="0"/>
                <w:sz w:val="24"/>
                <w:szCs w:val="24"/>
              </w:rPr>
            </w:pPr>
          </w:p>
        </w:tc>
        <w:tc>
          <w:tcPr>
            <w:tcW w:w="150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制定具体措施，对低压管道加强巡检 、监测工作，形成实时巡检记录系统。</w:t>
            </w:r>
          </w:p>
        </w:tc>
        <w:tc>
          <w:tcPr>
            <w:tcW w:w="462"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873"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c>
          <w:tcPr>
            <w:tcW w:w="799" w:type="pct"/>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　</w:t>
            </w:r>
          </w:p>
        </w:tc>
      </w:tr>
    </w:tbl>
    <w:p>
      <w:pPr>
        <w:pStyle w:val="17"/>
        <w:spacing w:line="600" w:lineRule="exact"/>
        <w:ind w:firstLine="0" w:firstLineChars="0"/>
        <w:jc w:val="left"/>
        <w:rPr>
          <w:rFonts w:ascii="宋体" w:hAnsi="宋体"/>
          <w:sz w:val="24"/>
          <w:szCs w:val="24"/>
        </w:rPr>
      </w:pPr>
      <w:r>
        <w:rPr>
          <w:rFonts w:hint="eastAsia" w:ascii="宋体" w:hAnsi="宋体"/>
          <w:sz w:val="24"/>
          <w:szCs w:val="24"/>
        </w:rPr>
        <w:t>本表由燃气企业填报</w:t>
      </w:r>
    </w:p>
    <w:p>
      <w:pPr>
        <w:pStyle w:val="17"/>
        <w:spacing w:line="600" w:lineRule="exact"/>
        <w:ind w:firstLine="0" w:firstLineChars="0"/>
        <w:jc w:val="left"/>
        <w:rPr>
          <w:rFonts w:ascii="Times New Roman" w:hAnsi="Times New Roman" w:eastAsia="仿宋_GB2312"/>
          <w:sz w:val="32"/>
          <w:szCs w:val="32"/>
        </w:rPr>
      </w:pPr>
    </w:p>
    <w:p>
      <w:pPr>
        <w:pStyle w:val="17"/>
        <w:spacing w:line="600" w:lineRule="exact"/>
        <w:ind w:firstLine="0" w:firstLineChars="0"/>
        <w:jc w:val="left"/>
        <w:rPr>
          <w:rFonts w:ascii="Times New Roman" w:hAnsi="Times New Roman" w:eastAsia="仿宋_GB2312"/>
          <w:sz w:val="32"/>
          <w:szCs w:val="32"/>
        </w:rPr>
        <w:sectPr>
          <w:pgSz w:w="16838" w:h="11906" w:orient="landscape"/>
          <w:pgMar w:top="1797" w:right="1559" w:bottom="1797" w:left="1701" w:header="851" w:footer="992" w:gutter="0"/>
          <w:pgNumType w:fmt="decimal"/>
          <w:cols w:space="720" w:num="1"/>
          <w:docGrid w:type="linesAndChars" w:linePitch="312" w:charSpace="0"/>
        </w:sectPr>
      </w:pPr>
    </w:p>
    <w:p>
      <w:pPr>
        <w:pStyle w:val="17"/>
        <w:spacing w:line="600" w:lineRule="exact"/>
        <w:ind w:firstLine="0" w:firstLineChars="0"/>
        <w:jc w:val="left"/>
        <w:rPr>
          <w:rFonts w:ascii="Times New Roman" w:hAnsi="Times New Roman" w:eastAsia="仿宋_GB2312"/>
          <w:sz w:val="32"/>
          <w:szCs w:val="32"/>
        </w:rPr>
      </w:pPr>
      <w:r>
        <w:rPr>
          <w:rFonts w:hint="eastAsia" w:ascii="Times New Roman" w:hAnsi="Times New Roman" w:eastAsia="仿宋_GB2312"/>
          <w:sz w:val="32"/>
          <w:szCs w:val="32"/>
        </w:rPr>
        <w:t>附件3</w:t>
      </w:r>
    </w:p>
    <w:p>
      <w:pPr>
        <w:pStyle w:val="17"/>
        <w:spacing w:line="600" w:lineRule="exact"/>
        <w:ind w:firstLine="0" w:firstLineChars="0"/>
        <w:jc w:val="center"/>
        <w:rPr>
          <w:rFonts w:ascii="黑体" w:hAnsi="黑体" w:eastAsia="黑体"/>
          <w:sz w:val="32"/>
          <w:szCs w:val="32"/>
        </w:rPr>
      </w:pPr>
      <w:r>
        <w:rPr>
          <w:rFonts w:hint="eastAsia" w:ascii="黑体" w:hAnsi="黑体" w:eastAsia="黑体"/>
          <w:sz w:val="32"/>
          <w:szCs w:val="32"/>
        </w:rPr>
        <w:t>管道燃气非居民用户燃气设施安全自查表</w:t>
      </w:r>
    </w:p>
    <w:tbl>
      <w:tblPr>
        <w:tblStyle w:val="7"/>
        <w:tblW w:w="9062"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137"/>
        <w:gridCol w:w="1407"/>
        <w:gridCol w:w="1276"/>
        <w:gridCol w:w="127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66" w:type="dxa"/>
            <w:shd w:val="clear" w:color="auto" w:fill="auto"/>
            <w:vAlign w:val="center"/>
          </w:tcPr>
          <w:p>
            <w:pPr>
              <w:pStyle w:val="17"/>
              <w:ind w:firstLine="0" w:firstLineChars="0"/>
              <w:rPr>
                <w:rFonts w:ascii="宋体" w:hAnsi="宋体"/>
                <w:sz w:val="22"/>
              </w:rPr>
            </w:pPr>
            <w:r>
              <w:rPr>
                <w:rFonts w:hint="eastAsia" w:ascii="宋体" w:hAnsi="宋体"/>
                <w:sz w:val="22"/>
              </w:rPr>
              <w:t>用户名称</w:t>
            </w:r>
          </w:p>
        </w:tc>
        <w:tc>
          <w:tcPr>
            <w:tcW w:w="3544" w:type="dxa"/>
            <w:gridSpan w:val="2"/>
            <w:shd w:val="clear" w:color="auto" w:fill="auto"/>
            <w:vAlign w:val="center"/>
          </w:tcPr>
          <w:p>
            <w:pPr>
              <w:pStyle w:val="17"/>
              <w:ind w:firstLine="0" w:firstLineChars="0"/>
              <w:rPr>
                <w:rFonts w:ascii="宋体" w:hAnsi="宋体"/>
                <w:sz w:val="22"/>
              </w:rPr>
            </w:pPr>
            <w:r>
              <w:rPr>
                <w:rFonts w:ascii="宋体" w:hAnsi="宋体"/>
                <w:sz w:val="22"/>
              </w:rPr>
              <w:t>　</w:t>
            </w:r>
          </w:p>
        </w:tc>
        <w:tc>
          <w:tcPr>
            <w:tcW w:w="1276" w:type="dxa"/>
            <w:shd w:val="clear" w:color="auto" w:fill="auto"/>
            <w:vAlign w:val="center"/>
          </w:tcPr>
          <w:p>
            <w:pPr>
              <w:pStyle w:val="17"/>
              <w:ind w:firstLine="0" w:firstLineChars="0"/>
              <w:rPr>
                <w:rFonts w:ascii="宋体" w:hAnsi="宋体"/>
                <w:sz w:val="22"/>
              </w:rPr>
            </w:pPr>
            <w:r>
              <w:rPr>
                <w:rFonts w:hint="eastAsia" w:ascii="宋体" w:hAnsi="宋体"/>
                <w:sz w:val="22"/>
              </w:rPr>
              <w:t>用户所在建筑名称</w:t>
            </w:r>
          </w:p>
        </w:tc>
        <w:tc>
          <w:tcPr>
            <w:tcW w:w="2976" w:type="dxa"/>
            <w:gridSpan w:val="2"/>
            <w:shd w:val="clear" w:color="auto" w:fill="auto"/>
            <w:vAlign w:val="center"/>
          </w:tcPr>
          <w:p>
            <w:pPr>
              <w:pStyle w:val="17"/>
              <w:ind w:firstLine="0" w:firstLineChars="0"/>
              <w:rPr>
                <w:rFonts w:ascii="宋体" w:hAnsi="宋体"/>
                <w:sz w:val="22"/>
              </w:rPr>
            </w:pPr>
            <w:r>
              <w:rPr>
                <w:rFonts w:ascii="宋体" w:hAnsi="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6" w:type="dxa"/>
            <w:shd w:val="clear" w:color="auto" w:fill="auto"/>
            <w:vAlign w:val="center"/>
          </w:tcPr>
          <w:p>
            <w:pPr>
              <w:pStyle w:val="17"/>
              <w:ind w:firstLine="0" w:firstLineChars="0"/>
              <w:rPr>
                <w:rFonts w:ascii="宋体" w:hAnsi="宋体"/>
                <w:sz w:val="22"/>
              </w:rPr>
            </w:pPr>
            <w:r>
              <w:rPr>
                <w:rFonts w:hint="eastAsia" w:ascii="宋体" w:hAnsi="宋体"/>
                <w:sz w:val="22"/>
              </w:rPr>
              <w:t>用户地址</w:t>
            </w:r>
          </w:p>
        </w:tc>
        <w:tc>
          <w:tcPr>
            <w:tcW w:w="2137" w:type="dxa"/>
            <w:shd w:val="clear" w:color="auto" w:fill="auto"/>
            <w:vAlign w:val="center"/>
          </w:tcPr>
          <w:p>
            <w:pPr>
              <w:pStyle w:val="17"/>
              <w:ind w:firstLine="0" w:firstLineChars="0"/>
              <w:rPr>
                <w:rFonts w:ascii="宋体" w:hAnsi="宋体"/>
                <w:sz w:val="22"/>
              </w:rPr>
            </w:pPr>
            <w:r>
              <w:rPr>
                <w:rFonts w:ascii="宋体" w:hAnsi="宋体"/>
                <w:sz w:val="22"/>
              </w:rPr>
              <w:t>　</w:t>
            </w:r>
          </w:p>
        </w:tc>
        <w:tc>
          <w:tcPr>
            <w:tcW w:w="1407" w:type="dxa"/>
            <w:shd w:val="clear" w:color="auto" w:fill="auto"/>
            <w:vAlign w:val="center"/>
          </w:tcPr>
          <w:p>
            <w:pPr>
              <w:pStyle w:val="17"/>
              <w:ind w:firstLine="0" w:firstLineChars="0"/>
              <w:rPr>
                <w:rFonts w:ascii="宋体" w:hAnsi="宋体"/>
                <w:sz w:val="22"/>
              </w:rPr>
            </w:pPr>
            <w:r>
              <w:rPr>
                <w:rFonts w:hint="eastAsia" w:ascii="宋体" w:hAnsi="宋体"/>
                <w:sz w:val="22"/>
              </w:rPr>
              <w:t>用户联系人</w:t>
            </w:r>
          </w:p>
        </w:tc>
        <w:tc>
          <w:tcPr>
            <w:tcW w:w="1276" w:type="dxa"/>
            <w:shd w:val="clear" w:color="auto" w:fill="auto"/>
            <w:vAlign w:val="center"/>
          </w:tcPr>
          <w:p>
            <w:pPr>
              <w:pStyle w:val="17"/>
              <w:ind w:firstLine="0" w:firstLineChars="0"/>
              <w:rPr>
                <w:rFonts w:ascii="宋体" w:hAnsi="宋体"/>
                <w:sz w:val="22"/>
              </w:rPr>
            </w:pPr>
            <w:r>
              <w:rPr>
                <w:rFonts w:ascii="宋体" w:hAnsi="宋体"/>
                <w:sz w:val="22"/>
              </w:rPr>
              <w:t>　</w:t>
            </w:r>
          </w:p>
        </w:tc>
        <w:tc>
          <w:tcPr>
            <w:tcW w:w="1275" w:type="dxa"/>
            <w:shd w:val="clear" w:color="auto" w:fill="auto"/>
            <w:vAlign w:val="center"/>
          </w:tcPr>
          <w:p>
            <w:pPr>
              <w:pStyle w:val="17"/>
              <w:ind w:firstLine="0" w:firstLineChars="0"/>
              <w:rPr>
                <w:rFonts w:ascii="宋体" w:hAnsi="宋体"/>
                <w:sz w:val="22"/>
              </w:rPr>
            </w:pPr>
            <w:r>
              <w:rPr>
                <w:rFonts w:hint="eastAsia" w:ascii="宋体" w:hAnsi="宋体"/>
                <w:sz w:val="22"/>
              </w:rPr>
              <w:t>用户电话</w:t>
            </w:r>
          </w:p>
        </w:tc>
        <w:tc>
          <w:tcPr>
            <w:tcW w:w="1701" w:type="dxa"/>
            <w:shd w:val="clear" w:color="auto" w:fill="auto"/>
            <w:vAlign w:val="center"/>
          </w:tcPr>
          <w:p>
            <w:pPr>
              <w:pStyle w:val="17"/>
              <w:ind w:firstLine="0" w:firstLineChars="0"/>
              <w:rPr>
                <w:rFonts w:ascii="宋体" w:hAnsi="宋体"/>
                <w:sz w:val="22"/>
              </w:rPr>
            </w:pPr>
            <w:r>
              <w:rPr>
                <w:rFonts w:ascii="宋体" w:hAnsi="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66" w:type="dxa"/>
            <w:vMerge w:val="restart"/>
            <w:shd w:val="clear" w:color="auto" w:fill="auto"/>
            <w:vAlign w:val="center"/>
          </w:tcPr>
          <w:p>
            <w:pPr>
              <w:pStyle w:val="17"/>
              <w:ind w:firstLine="0" w:firstLineChars="0"/>
              <w:rPr>
                <w:rFonts w:ascii="宋体" w:hAnsi="宋体"/>
                <w:sz w:val="22"/>
              </w:rPr>
            </w:pPr>
            <w:r>
              <w:rPr>
                <w:rFonts w:hint="eastAsia" w:ascii="宋体" w:hAnsi="宋体"/>
                <w:sz w:val="22"/>
              </w:rPr>
              <w:t>供气企业</w:t>
            </w:r>
          </w:p>
        </w:tc>
        <w:tc>
          <w:tcPr>
            <w:tcW w:w="2137" w:type="dxa"/>
            <w:shd w:val="clear" w:color="auto" w:fill="auto"/>
            <w:vAlign w:val="center"/>
          </w:tcPr>
          <w:p>
            <w:pPr>
              <w:pStyle w:val="17"/>
              <w:ind w:firstLine="0" w:firstLineChars="0"/>
              <w:rPr>
                <w:rFonts w:ascii="宋体" w:hAnsi="宋体"/>
                <w:sz w:val="22"/>
              </w:rPr>
            </w:pPr>
            <w:r>
              <w:rPr>
                <w:rFonts w:hint="eastAsia" w:ascii="宋体" w:hAnsi="宋体"/>
                <w:sz w:val="22"/>
              </w:rPr>
              <w:t>名称：</w:t>
            </w:r>
          </w:p>
        </w:tc>
        <w:tc>
          <w:tcPr>
            <w:tcW w:w="1407" w:type="dxa"/>
            <w:vMerge w:val="restart"/>
            <w:shd w:val="clear" w:color="auto" w:fill="auto"/>
            <w:vAlign w:val="center"/>
          </w:tcPr>
          <w:p>
            <w:pPr>
              <w:pStyle w:val="17"/>
              <w:ind w:firstLine="0" w:firstLineChars="0"/>
              <w:rPr>
                <w:rFonts w:ascii="宋体" w:hAnsi="宋体"/>
                <w:sz w:val="22"/>
              </w:rPr>
            </w:pPr>
            <w:r>
              <w:rPr>
                <w:rFonts w:hint="eastAsia" w:ascii="宋体" w:hAnsi="宋体"/>
                <w:sz w:val="22"/>
              </w:rPr>
              <w:t>安全检查人</w:t>
            </w:r>
          </w:p>
        </w:tc>
        <w:tc>
          <w:tcPr>
            <w:tcW w:w="1276" w:type="dxa"/>
            <w:vMerge w:val="restart"/>
            <w:shd w:val="clear" w:color="auto" w:fill="auto"/>
            <w:vAlign w:val="center"/>
          </w:tcPr>
          <w:p>
            <w:pPr>
              <w:pStyle w:val="17"/>
              <w:ind w:firstLine="0" w:firstLineChars="0"/>
              <w:rPr>
                <w:rFonts w:ascii="宋体" w:hAnsi="宋体"/>
                <w:sz w:val="22"/>
              </w:rPr>
            </w:pPr>
            <w:r>
              <w:rPr>
                <w:rFonts w:ascii="宋体" w:hAnsi="宋体"/>
                <w:sz w:val="22"/>
              </w:rPr>
              <w:t>　</w:t>
            </w:r>
          </w:p>
        </w:tc>
        <w:tc>
          <w:tcPr>
            <w:tcW w:w="1275" w:type="dxa"/>
            <w:vMerge w:val="restart"/>
            <w:shd w:val="clear" w:color="auto" w:fill="auto"/>
            <w:vAlign w:val="center"/>
          </w:tcPr>
          <w:p>
            <w:pPr>
              <w:pStyle w:val="17"/>
              <w:ind w:firstLine="0" w:firstLineChars="0"/>
              <w:rPr>
                <w:rFonts w:ascii="宋体" w:hAnsi="宋体"/>
                <w:sz w:val="22"/>
              </w:rPr>
            </w:pPr>
            <w:r>
              <w:rPr>
                <w:rFonts w:hint="eastAsia" w:ascii="宋体" w:hAnsi="宋体"/>
                <w:sz w:val="22"/>
              </w:rPr>
              <w:t>检查时间</w:t>
            </w:r>
          </w:p>
        </w:tc>
        <w:tc>
          <w:tcPr>
            <w:tcW w:w="1701" w:type="dxa"/>
            <w:vMerge w:val="restart"/>
            <w:shd w:val="clear" w:color="auto" w:fill="auto"/>
            <w:vAlign w:val="center"/>
          </w:tcPr>
          <w:p>
            <w:pPr>
              <w:pStyle w:val="17"/>
              <w:ind w:firstLine="0" w:firstLineChars="0"/>
              <w:rPr>
                <w:rFonts w:ascii="宋体" w:hAnsi="宋体"/>
                <w:sz w:val="22"/>
              </w:rPr>
            </w:pPr>
            <w:r>
              <w:rPr>
                <w:rFonts w:hint="eastAsia" w:ascii="宋体" w:hAnsi="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66" w:type="dxa"/>
            <w:vMerge w:val="continue"/>
            <w:shd w:val="clear" w:color="auto" w:fill="auto"/>
            <w:vAlign w:val="center"/>
          </w:tcPr>
          <w:p>
            <w:pPr>
              <w:pStyle w:val="17"/>
              <w:ind w:firstLine="0" w:firstLineChars="0"/>
              <w:rPr>
                <w:rFonts w:ascii="宋体" w:hAnsi="宋体"/>
                <w:sz w:val="22"/>
              </w:rPr>
            </w:pPr>
          </w:p>
        </w:tc>
        <w:tc>
          <w:tcPr>
            <w:tcW w:w="2137" w:type="dxa"/>
            <w:shd w:val="clear" w:color="auto" w:fill="auto"/>
            <w:vAlign w:val="center"/>
          </w:tcPr>
          <w:p>
            <w:pPr>
              <w:pStyle w:val="17"/>
              <w:ind w:firstLine="0" w:firstLineChars="0"/>
              <w:rPr>
                <w:rFonts w:ascii="宋体" w:hAnsi="宋体"/>
                <w:sz w:val="22"/>
              </w:rPr>
            </w:pPr>
            <w:r>
              <w:rPr>
                <w:rFonts w:hint="eastAsia" w:ascii="宋体" w:hAnsi="宋体"/>
                <w:sz w:val="22"/>
              </w:rPr>
              <w:t>协议：有□；无□</w:t>
            </w:r>
          </w:p>
        </w:tc>
        <w:tc>
          <w:tcPr>
            <w:tcW w:w="1407" w:type="dxa"/>
            <w:vMerge w:val="continue"/>
            <w:shd w:val="clear" w:color="auto" w:fill="auto"/>
            <w:vAlign w:val="center"/>
          </w:tcPr>
          <w:p>
            <w:pPr>
              <w:pStyle w:val="17"/>
              <w:ind w:firstLine="0" w:firstLineChars="0"/>
              <w:rPr>
                <w:rFonts w:ascii="宋体" w:hAnsi="宋体"/>
                <w:sz w:val="22"/>
              </w:rPr>
            </w:pPr>
          </w:p>
        </w:tc>
        <w:tc>
          <w:tcPr>
            <w:tcW w:w="1276" w:type="dxa"/>
            <w:vMerge w:val="continue"/>
            <w:shd w:val="clear" w:color="auto" w:fill="auto"/>
            <w:vAlign w:val="center"/>
          </w:tcPr>
          <w:p>
            <w:pPr>
              <w:pStyle w:val="17"/>
              <w:ind w:firstLine="0" w:firstLineChars="0"/>
              <w:rPr>
                <w:rFonts w:ascii="宋体" w:hAnsi="宋体"/>
                <w:sz w:val="22"/>
              </w:rPr>
            </w:pPr>
          </w:p>
        </w:tc>
        <w:tc>
          <w:tcPr>
            <w:tcW w:w="1275" w:type="dxa"/>
            <w:vMerge w:val="continue"/>
            <w:shd w:val="clear" w:color="auto" w:fill="auto"/>
            <w:vAlign w:val="center"/>
          </w:tcPr>
          <w:p>
            <w:pPr>
              <w:pStyle w:val="17"/>
              <w:ind w:firstLine="0" w:firstLineChars="0"/>
              <w:rPr>
                <w:rFonts w:ascii="宋体" w:hAnsi="宋体"/>
                <w:sz w:val="22"/>
              </w:rPr>
            </w:pPr>
          </w:p>
        </w:tc>
        <w:tc>
          <w:tcPr>
            <w:tcW w:w="1701" w:type="dxa"/>
            <w:vMerge w:val="continue"/>
            <w:shd w:val="clear" w:color="auto" w:fill="auto"/>
            <w:vAlign w:val="center"/>
          </w:tcPr>
          <w:p>
            <w:pPr>
              <w:pStyle w:val="17"/>
              <w:ind w:firstLine="0" w:firstLineChars="0"/>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66" w:type="dxa"/>
            <w:shd w:val="clear" w:color="auto" w:fill="auto"/>
            <w:vAlign w:val="center"/>
          </w:tcPr>
          <w:p>
            <w:pPr>
              <w:pStyle w:val="17"/>
              <w:ind w:firstLine="0" w:firstLineChars="0"/>
              <w:rPr>
                <w:rFonts w:ascii="宋体" w:hAnsi="宋体"/>
                <w:sz w:val="22"/>
              </w:rPr>
            </w:pPr>
            <w:r>
              <w:rPr>
                <w:rFonts w:hint="eastAsia" w:ascii="宋体" w:hAnsi="宋体"/>
                <w:sz w:val="22"/>
              </w:rPr>
              <w:t>用气设备</w:t>
            </w:r>
          </w:p>
        </w:tc>
        <w:tc>
          <w:tcPr>
            <w:tcW w:w="7796" w:type="dxa"/>
            <w:gridSpan w:val="5"/>
            <w:shd w:val="clear" w:color="auto" w:fill="auto"/>
            <w:vAlign w:val="center"/>
          </w:tcPr>
          <w:p>
            <w:pPr>
              <w:pStyle w:val="17"/>
              <w:ind w:firstLine="0" w:firstLineChars="0"/>
              <w:rPr>
                <w:rFonts w:ascii="宋体" w:hAnsi="宋体"/>
                <w:sz w:val="22"/>
              </w:rPr>
            </w:pPr>
            <w:r>
              <w:rPr>
                <w:rFonts w:hint="eastAsia" w:ascii="宋体" w:hAnsi="宋体"/>
                <w:sz w:val="22"/>
              </w:rPr>
              <w:t>□燃气灶具（家用灶、中餐炒灶、大锅灶）；□蒸箱；□热水器；□锅炉；□热水炉；□其他：</w:t>
            </w:r>
          </w:p>
        </w:tc>
      </w:tr>
    </w:tbl>
    <w:p/>
    <w:tbl>
      <w:tblPr>
        <w:tblStyle w:val="7"/>
        <w:tblW w:w="9062"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3828"/>
        <w:gridCol w:w="198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blHeader/>
        </w:trPr>
        <w:tc>
          <w:tcPr>
            <w:tcW w:w="1124" w:type="dxa"/>
            <w:vAlign w:val="center"/>
          </w:tcPr>
          <w:p>
            <w:pPr>
              <w:pStyle w:val="17"/>
              <w:ind w:firstLine="0" w:firstLineChars="0"/>
              <w:jc w:val="center"/>
              <w:rPr>
                <w:rFonts w:ascii="宋体" w:hAnsi="宋体"/>
                <w:b/>
                <w:bCs/>
                <w:sz w:val="22"/>
              </w:rPr>
            </w:pPr>
            <w:r>
              <w:rPr>
                <w:rFonts w:hint="eastAsia" w:ascii="宋体" w:hAnsi="宋体"/>
                <w:b/>
                <w:bCs/>
                <w:sz w:val="22"/>
              </w:rPr>
              <w:t>检查单元</w:t>
            </w:r>
          </w:p>
        </w:tc>
        <w:tc>
          <w:tcPr>
            <w:tcW w:w="3828" w:type="dxa"/>
            <w:vAlign w:val="center"/>
          </w:tcPr>
          <w:p>
            <w:pPr>
              <w:pStyle w:val="17"/>
              <w:ind w:firstLine="0" w:firstLineChars="0"/>
              <w:jc w:val="center"/>
              <w:rPr>
                <w:rFonts w:ascii="宋体" w:hAnsi="宋体"/>
                <w:b/>
                <w:bCs/>
                <w:sz w:val="22"/>
              </w:rPr>
            </w:pPr>
            <w:r>
              <w:rPr>
                <w:rFonts w:hint="eastAsia" w:ascii="宋体" w:hAnsi="宋体"/>
                <w:b/>
                <w:bCs/>
                <w:sz w:val="22"/>
              </w:rPr>
              <w:t>检查项目</w:t>
            </w:r>
          </w:p>
        </w:tc>
        <w:tc>
          <w:tcPr>
            <w:tcW w:w="1984" w:type="dxa"/>
            <w:vAlign w:val="center"/>
          </w:tcPr>
          <w:p>
            <w:pPr>
              <w:pStyle w:val="17"/>
              <w:ind w:firstLine="0" w:firstLineChars="0"/>
              <w:jc w:val="center"/>
              <w:rPr>
                <w:rFonts w:ascii="宋体" w:hAnsi="宋体"/>
                <w:b/>
                <w:bCs/>
                <w:sz w:val="22"/>
              </w:rPr>
            </w:pPr>
            <w:r>
              <w:rPr>
                <w:rFonts w:hint="eastAsia" w:ascii="宋体" w:hAnsi="宋体"/>
                <w:b/>
                <w:bCs/>
                <w:sz w:val="22"/>
              </w:rPr>
              <w:t>检查情况</w:t>
            </w:r>
          </w:p>
        </w:tc>
        <w:tc>
          <w:tcPr>
            <w:tcW w:w="2126" w:type="dxa"/>
            <w:vAlign w:val="center"/>
          </w:tcPr>
          <w:p>
            <w:pPr>
              <w:pStyle w:val="17"/>
              <w:ind w:firstLine="0" w:firstLineChars="0"/>
              <w:jc w:val="center"/>
              <w:rPr>
                <w:rFonts w:ascii="宋体" w:hAnsi="宋体"/>
                <w:b/>
                <w:bCs/>
                <w:sz w:val="22"/>
              </w:rPr>
            </w:pPr>
            <w:r>
              <w:rPr>
                <w:rFonts w:hint="eastAsia" w:ascii="宋体" w:hAnsi="宋体"/>
                <w:b/>
                <w:bCs/>
                <w:sz w:val="22"/>
              </w:rPr>
              <w:t>不符合处置措施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restart"/>
            <w:vAlign w:val="center"/>
          </w:tcPr>
          <w:p>
            <w:pPr>
              <w:pStyle w:val="17"/>
              <w:ind w:firstLine="0" w:firstLineChars="0"/>
              <w:rPr>
                <w:rFonts w:ascii="宋体" w:hAnsi="宋体"/>
                <w:sz w:val="22"/>
              </w:rPr>
            </w:pPr>
            <w:r>
              <w:rPr>
                <w:rFonts w:hint="eastAsia" w:ascii="宋体" w:hAnsi="宋体"/>
                <w:sz w:val="22"/>
              </w:rPr>
              <w:t>安全管理</w:t>
            </w:r>
          </w:p>
        </w:tc>
        <w:tc>
          <w:tcPr>
            <w:tcW w:w="3828" w:type="dxa"/>
            <w:vAlign w:val="center"/>
          </w:tcPr>
          <w:p>
            <w:pPr>
              <w:pStyle w:val="17"/>
              <w:ind w:firstLine="0" w:firstLineChars="0"/>
              <w:rPr>
                <w:rFonts w:ascii="宋体" w:hAnsi="宋体"/>
                <w:sz w:val="22"/>
              </w:rPr>
            </w:pPr>
            <w:r>
              <w:rPr>
                <w:rFonts w:hint="eastAsia" w:ascii="宋体" w:hAnsi="宋体"/>
                <w:sz w:val="22"/>
              </w:rPr>
              <w:t>有安全管理制度或操作规程，且在明显位置张贴</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人员经过专业培训，熟悉安全用气操作</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有应急处置方案，且每半年进行</w:t>
            </w:r>
            <w:r>
              <w:rPr>
                <w:rFonts w:ascii="宋体" w:hAnsi="宋体"/>
                <w:sz w:val="22"/>
              </w:rPr>
              <w:t>1</w:t>
            </w:r>
            <w:r>
              <w:rPr>
                <w:rFonts w:hint="eastAsia" w:ascii="宋体" w:hAnsi="宋体"/>
                <w:sz w:val="22"/>
              </w:rPr>
              <w:t>次应急处置演练</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与供气企业签订供用气合同</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立即补签合同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进行过安全用气自检，有自检单，每月不少于</w:t>
            </w:r>
            <w:r>
              <w:rPr>
                <w:rFonts w:ascii="宋体" w:hAnsi="宋体"/>
                <w:sz w:val="22"/>
              </w:rPr>
              <w:t>1</w:t>
            </w:r>
            <w:r>
              <w:rPr>
                <w:rFonts w:hint="eastAsia" w:ascii="宋体" w:hAnsi="宋体"/>
                <w:sz w:val="22"/>
              </w:rPr>
              <w:t>次</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供气企业入户安全检查每年不小于</w:t>
            </w:r>
            <w:r>
              <w:rPr>
                <w:rFonts w:ascii="宋体" w:hAnsi="宋体"/>
                <w:sz w:val="22"/>
              </w:rPr>
              <w:t>1</w:t>
            </w:r>
            <w:r>
              <w:rPr>
                <w:rFonts w:hint="eastAsia" w:ascii="宋体" w:hAnsi="宋体"/>
                <w:sz w:val="22"/>
              </w:rPr>
              <w:t>次</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通知供气企业立即安排上门安检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restart"/>
            <w:vAlign w:val="center"/>
          </w:tcPr>
          <w:p>
            <w:pPr>
              <w:pStyle w:val="17"/>
              <w:ind w:firstLine="0" w:firstLineChars="0"/>
              <w:rPr>
                <w:rFonts w:ascii="宋体" w:hAnsi="宋体"/>
                <w:sz w:val="22"/>
              </w:rPr>
            </w:pPr>
            <w:r>
              <w:rPr>
                <w:rFonts w:hint="eastAsia" w:ascii="宋体" w:hAnsi="宋体"/>
                <w:sz w:val="22"/>
              </w:rPr>
              <w:t>安全装置</w:t>
            </w:r>
          </w:p>
        </w:tc>
        <w:tc>
          <w:tcPr>
            <w:tcW w:w="3828" w:type="dxa"/>
            <w:vAlign w:val="center"/>
          </w:tcPr>
          <w:p>
            <w:pPr>
              <w:pStyle w:val="17"/>
              <w:ind w:firstLine="0" w:firstLineChars="0"/>
              <w:rPr>
                <w:rFonts w:ascii="宋体" w:hAnsi="宋体"/>
                <w:sz w:val="22"/>
              </w:rPr>
            </w:pPr>
            <w:r>
              <w:rPr>
                <w:rFonts w:hint="eastAsia" w:ascii="宋体" w:hAnsi="宋体"/>
                <w:sz w:val="22"/>
              </w:rPr>
              <w:t>安装有燃气泄漏报警器，间距小于</w:t>
            </w:r>
            <w:r>
              <w:rPr>
                <w:rFonts w:ascii="宋体" w:hAnsi="宋体"/>
                <w:sz w:val="22"/>
              </w:rPr>
              <w:t>10</w:t>
            </w:r>
            <w:r>
              <w:rPr>
                <w:rFonts w:hint="eastAsia" w:ascii="宋体" w:hAnsi="宋体"/>
                <w:sz w:val="22"/>
              </w:rPr>
              <w:t>米，距顶棚小于</w:t>
            </w:r>
            <w:r>
              <w:rPr>
                <w:rFonts w:ascii="宋体" w:hAnsi="宋体"/>
                <w:sz w:val="22"/>
              </w:rPr>
              <w:t>30cm</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Merge w:val="restart"/>
            <w:vAlign w:val="center"/>
          </w:tcPr>
          <w:p>
            <w:pPr>
              <w:pStyle w:val="17"/>
              <w:ind w:firstLine="0" w:firstLineChars="0"/>
              <w:rPr>
                <w:rFonts w:ascii="宋体" w:hAnsi="宋体"/>
                <w:sz w:val="22"/>
              </w:rPr>
            </w:pPr>
            <w:r>
              <w:rPr>
                <w:rFonts w:hint="eastAsia" w:ascii="宋体" w:hAnsi="宋体"/>
                <w:sz w:val="22"/>
              </w:rPr>
              <w:t>立即停止用气，切断气源，维修或改造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报警器检定（校验）有效期</w:t>
            </w:r>
            <w:r>
              <w:rPr>
                <w:rFonts w:ascii="宋体" w:hAnsi="宋体"/>
                <w:sz w:val="22"/>
              </w:rPr>
              <w:t>1</w:t>
            </w:r>
            <w:r>
              <w:rPr>
                <w:rFonts w:hint="eastAsia" w:ascii="宋体" w:hAnsi="宋体"/>
                <w:sz w:val="22"/>
              </w:rPr>
              <w:t>年</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Merge w:val="continue"/>
            <w:vAlign w:val="center"/>
          </w:tcPr>
          <w:p>
            <w:pPr>
              <w:pStyle w:val="17"/>
              <w:ind w:firstLine="0" w:firstLineChars="0"/>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4" w:type="dxa"/>
            <w:vMerge w:val="restart"/>
            <w:vAlign w:val="center"/>
          </w:tcPr>
          <w:p>
            <w:pPr>
              <w:pStyle w:val="17"/>
              <w:ind w:firstLine="0" w:firstLineChars="0"/>
              <w:rPr>
                <w:rFonts w:ascii="宋体" w:hAnsi="宋体"/>
                <w:sz w:val="22"/>
              </w:rPr>
            </w:pPr>
            <w:r>
              <w:rPr>
                <w:rFonts w:hint="eastAsia" w:ascii="宋体" w:hAnsi="宋体"/>
                <w:sz w:val="22"/>
              </w:rPr>
              <w:t>户内管道</w:t>
            </w:r>
          </w:p>
        </w:tc>
        <w:tc>
          <w:tcPr>
            <w:tcW w:w="3828" w:type="dxa"/>
            <w:vAlign w:val="center"/>
          </w:tcPr>
          <w:p>
            <w:pPr>
              <w:pStyle w:val="17"/>
              <w:ind w:firstLine="0" w:firstLineChars="0"/>
              <w:rPr>
                <w:rFonts w:ascii="宋体" w:hAnsi="宋体"/>
                <w:sz w:val="22"/>
              </w:rPr>
            </w:pPr>
            <w:r>
              <w:rPr>
                <w:rFonts w:hint="eastAsia" w:ascii="宋体" w:hAnsi="宋体"/>
                <w:sz w:val="22"/>
              </w:rPr>
              <w:t>燃气管道及附件未被擅自改动，燃气管道末端采用盲板或封头严密封堵，管道连接紧密，无泄漏现象</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立即停止用气，切断气源，改回原状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钢质管道外表无明显锈蚀现象</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管道未暗设，设备构件上明设的燃气管道用支架、管卡或吊卡固定牢靠，无松动、摇晃等现象</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管道未用于承重、作为支撑以及悬挂重物等其他用途</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Align w:val="center"/>
          </w:tcPr>
          <w:p>
            <w:pPr>
              <w:pStyle w:val="17"/>
              <w:ind w:firstLine="0" w:firstLineChars="0"/>
              <w:rPr>
                <w:rFonts w:ascii="宋体" w:hAnsi="宋体"/>
                <w:sz w:val="22"/>
              </w:rPr>
            </w:pPr>
            <w:r>
              <w:rPr>
                <w:rFonts w:hint="eastAsia" w:ascii="宋体" w:hAnsi="宋体"/>
                <w:sz w:val="22"/>
              </w:rPr>
              <w:t>阀门</w:t>
            </w:r>
          </w:p>
        </w:tc>
        <w:tc>
          <w:tcPr>
            <w:tcW w:w="3828" w:type="dxa"/>
            <w:vAlign w:val="center"/>
          </w:tcPr>
          <w:p>
            <w:pPr>
              <w:pStyle w:val="17"/>
              <w:ind w:firstLine="0" w:firstLineChars="0"/>
              <w:rPr>
                <w:rFonts w:ascii="宋体" w:hAnsi="宋体"/>
                <w:sz w:val="22"/>
              </w:rPr>
            </w:pPr>
            <w:r>
              <w:rPr>
                <w:rFonts w:hint="eastAsia" w:ascii="宋体" w:hAnsi="宋体"/>
                <w:sz w:val="22"/>
              </w:rPr>
              <w:t>燃气总阀操作方便，阀门手柄完好，能正常关闭，无泄漏</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restart"/>
            <w:vAlign w:val="center"/>
          </w:tcPr>
          <w:p>
            <w:pPr>
              <w:pStyle w:val="17"/>
              <w:ind w:firstLine="0" w:firstLineChars="0"/>
              <w:rPr>
                <w:rFonts w:ascii="宋体" w:hAnsi="宋体"/>
                <w:sz w:val="22"/>
              </w:rPr>
            </w:pPr>
            <w:r>
              <w:rPr>
                <w:rFonts w:hint="eastAsia" w:ascii="宋体" w:hAnsi="宋体"/>
                <w:sz w:val="22"/>
              </w:rPr>
              <w:t>燃气表</w:t>
            </w:r>
          </w:p>
        </w:tc>
        <w:tc>
          <w:tcPr>
            <w:tcW w:w="3828" w:type="dxa"/>
            <w:vAlign w:val="center"/>
          </w:tcPr>
          <w:p>
            <w:pPr>
              <w:pStyle w:val="17"/>
              <w:ind w:firstLine="0" w:firstLineChars="0"/>
              <w:rPr>
                <w:rFonts w:ascii="宋体" w:hAnsi="宋体"/>
                <w:sz w:val="22"/>
              </w:rPr>
            </w:pPr>
            <w:r>
              <w:rPr>
                <w:rFonts w:hint="eastAsia" w:ascii="宋体" w:hAnsi="宋体"/>
                <w:sz w:val="22"/>
              </w:rPr>
              <w:t>燃气表及管道周围无堆放或搭挂杂物、接触电线</w:t>
            </w:r>
            <w:r>
              <w:rPr>
                <w:rFonts w:ascii="宋体" w:hAnsi="宋体"/>
                <w:sz w:val="22"/>
              </w:rPr>
              <w:t>,</w:t>
            </w:r>
            <w:r>
              <w:rPr>
                <w:rFonts w:hint="eastAsia" w:ascii="宋体" w:hAnsi="宋体"/>
                <w:sz w:val="22"/>
              </w:rPr>
              <w:t>无泄漏</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立即清理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设置与燃气报警器连锁的紧急切断阀、动作正常，明显标识安装时间，且不超过</w:t>
            </w:r>
            <w:r>
              <w:rPr>
                <w:rFonts w:ascii="宋体" w:hAnsi="宋体"/>
                <w:sz w:val="22"/>
              </w:rPr>
              <w:t>10</w:t>
            </w:r>
            <w:r>
              <w:rPr>
                <w:rFonts w:hint="eastAsia" w:ascii="宋体" w:hAnsi="宋体"/>
                <w:sz w:val="22"/>
              </w:rPr>
              <w:t>年</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24" w:type="dxa"/>
            <w:vMerge w:val="restart"/>
            <w:vAlign w:val="center"/>
          </w:tcPr>
          <w:p>
            <w:pPr>
              <w:pStyle w:val="17"/>
              <w:ind w:firstLine="0" w:firstLineChars="0"/>
              <w:rPr>
                <w:rFonts w:ascii="宋体" w:hAnsi="宋体"/>
                <w:sz w:val="22"/>
              </w:rPr>
            </w:pPr>
            <w:r>
              <w:rPr>
                <w:rFonts w:hint="eastAsia" w:ascii="宋体" w:hAnsi="宋体"/>
                <w:sz w:val="22"/>
              </w:rPr>
              <w:t>连接软管</w:t>
            </w:r>
          </w:p>
        </w:tc>
        <w:tc>
          <w:tcPr>
            <w:tcW w:w="3828" w:type="dxa"/>
            <w:vAlign w:val="center"/>
          </w:tcPr>
          <w:p>
            <w:pPr>
              <w:pStyle w:val="17"/>
              <w:ind w:firstLine="0" w:firstLineChars="0"/>
              <w:rPr>
                <w:rFonts w:ascii="宋体" w:hAnsi="宋体"/>
                <w:sz w:val="22"/>
              </w:rPr>
            </w:pPr>
            <w:r>
              <w:rPr>
                <w:rFonts w:hint="eastAsia" w:ascii="宋体" w:hAnsi="宋体"/>
                <w:sz w:val="22"/>
              </w:rPr>
              <w:t>采用燃气专用不锈钢软管或金属包覆管连接，连接紧固，软管无脱落、泄漏现象</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立即更换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软管长度不超过</w:t>
            </w:r>
            <w:r>
              <w:rPr>
                <w:rFonts w:ascii="宋体" w:hAnsi="宋体"/>
                <w:sz w:val="22"/>
              </w:rPr>
              <w:t>2.0m</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软管中间无接口，无三通分流</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软管无穿越墙、楼板、顶棚、门窗、埋地等现象</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软管未在弯折、拉伸、扭转、受压等状态下使用</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restart"/>
            <w:vAlign w:val="center"/>
          </w:tcPr>
          <w:p>
            <w:pPr>
              <w:pStyle w:val="17"/>
              <w:ind w:firstLine="0" w:firstLineChars="0"/>
              <w:rPr>
                <w:rFonts w:ascii="宋体" w:hAnsi="宋体"/>
                <w:sz w:val="22"/>
              </w:rPr>
            </w:pPr>
            <w:r>
              <w:rPr>
                <w:rFonts w:hint="eastAsia" w:ascii="宋体" w:hAnsi="宋体"/>
                <w:sz w:val="22"/>
              </w:rPr>
              <w:t>燃烧器具</w:t>
            </w:r>
          </w:p>
        </w:tc>
        <w:tc>
          <w:tcPr>
            <w:tcW w:w="3828" w:type="dxa"/>
            <w:vAlign w:val="center"/>
          </w:tcPr>
          <w:p>
            <w:pPr>
              <w:pStyle w:val="17"/>
              <w:ind w:firstLine="0" w:firstLineChars="0"/>
              <w:rPr>
                <w:rFonts w:ascii="宋体" w:hAnsi="宋体"/>
                <w:sz w:val="22"/>
              </w:rPr>
            </w:pPr>
            <w:r>
              <w:rPr>
                <w:rFonts w:hint="eastAsia" w:ascii="宋体" w:hAnsi="宋体"/>
                <w:sz w:val="22"/>
              </w:rPr>
              <w:t>燃烧器具铭牌上标定的燃气类别与供应燃气一致</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立即停止用气，切断气源，更换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明显标识安装使用时间，且未超过设计使用年限</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使用螺纹接口的硬管、金属软管和专用阀门连接</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立即停止用气，切断气源，建议更换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4" w:type="dxa"/>
            <w:vMerge w:val="continue"/>
            <w:vAlign w:val="center"/>
          </w:tcPr>
          <w:p>
            <w:pPr>
              <w:pStyle w:val="17"/>
              <w:ind w:firstLine="0" w:firstLineChars="0"/>
              <w:rPr>
                <w:rFonts w:ascii="宋体" w:hAnsi="宋体"/>
                <w:sz w:val="22"/>
              </w:rPr>
            </w:pPr>
          </w:p>
        </w:tc>
        <w:tc>
          <w:tcPr>
            <w:tcW w:w="3828" w:type="dxa"/>
            <w:noWrap/>
            <w:vAlign w:val="center"/>
          </w:tcPr>
          <w:p>
            <w:pPr>
              <w:pStyle w:val="17"/>
              <w:ind w:firstLine="0" w:firstLineChars="0"/>
              <w:rPr>
                <w:rFonts w:ascii="宋体" w:hAnsi="宋体"/>
                <w:sz w:val="22"/>
              </w:rPr>
            </w:pPr>
            <w:r>
              <w:rPr>
                <w:rFonts w:hint="eastAsia" w:ascii="宋体" w:hAnsi="宋体"/>
                <w:sz w:val="22"/>
              </w:rPr>
              <w:t>燃烧正常，无黑烟、红火，无泄漏，烟道安装紧密、完好、畅通、规范、通出室外</w:t>
            </w:r>
          </w:p>
        </w:tc>
        <w:tc>
          <w:tcPr>
            <w:tcW w:w="1984" w:type="dxa"/>
            <w:noWrap/>
            <w:vAlign w:val="center"/>
          </w:tcPr>
          <w:p>
            <w:pPr>
              <w:pStyle w:val="17"/>
              <w:ind w:firstLine="0" w:firstLineChars="0"/>
              <w:rPr>
                <w:rFonts w:ascii="宋体" w:hAnsi="宋体"/>
                <w:sz w:val="22"/>
              </w:rPr>
            </w:pPr>
            <w:r>
              <w:rPr>
                <w:rFonts w:hint="eastAsia" w:ascii="宋体" w:hAnsi="宋体"/>
                <w:sz w:val="22"/>
              </w:rPr>
              <w:t>符合□不符合□</w:t>
            </w:r>
          </w:p>
        </w:tc>
        <w:tc>
          <w:tcPr>
            <w:tcW w:w="2126" w:type="dxa"/>
            <w:noWrap/>
            <w:vAlign w:val="center"/>
          </w:tcPr>
          <w:p>
            <w:pPr>
              <w:pStyle w:val="17"/>
              <w:ind w:firstLine="0" w:firstLineChars="0"/>
              <w:rPr>
                <w:rFonts w:ascii="宋体" w:hAnsi="宋体"/>
                <w:sz w:val="22"/>
              </w:rPr>
            </w:pPr>
            <w:r>
              <w:rPr>
                <w:rFonts w:hint="eastAsia" w:ascii="宋体" w:hAnsi="宋体"/>
                <w:sz w:val="22"/>
              </w:rPr>
              <w:t>立即停止用气，切断气源，按要求整改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燃气燃烧器具在关闭状态下，无泄漏现象</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立即停止用气，切断气源，请厂家维修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有熄火保护装置，且工作正常</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立即停止用气，切断气源，请厂家维修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4" w:type="dxa"/>
            <w:vMerge w:val="restart"/>
            <w:vAlign w:val="center"/>
          </w:tcPr>
          <w:p>
            <w:pPr>
              <w:pStyle w:val="17"/>
              <w:ind w:firstLine="0" w:firstLineChars="0"/>
              <w:rPr>
                <w:rFonts w:ascii="宋体" w:hAnsi="宋体"/>
                <w:sz w:val="22"/>
              </w:rPr>
            </w:pPr>
            <w:r>
              <w:rPr>
                <w:rFonts w:hint="eastAsia" w:ascii="宋体" w:hAnsi="宋体"/>
                <w:sz w:val="22"/>
              </w:rPr>
              <w:t>用气环境</w:t>
            </w:r>
          </w:p>
        </w:tc>
        <w:tc>
          <w:tcPr>
            <w:tcW w:w="3828" w:type="dxa"/>
            <w:vAlign w:val="center"/>
          </w:tcPr>
          <w:p>
            <w:pPr>
              <w:pStyle w:val="17"/>
              <w:ind w:firstLine="0" w:firstLineChars="0"/>
              <w:rPr>
                <w:rFonts w:ascii="宋体" w:hAnsi="宋体"/>
                <w:sz w:val="22"/>
              </w:rPr>
            </w:pPr>
            <w:r>
              <w:rPr>
                <w:rFonts w:hint="eastAsia" w:ascii="宋体" w:hAnsi="宋体"/>
                <w:sz w:val="22"/>
              </w:rPr>
              <w:t>用气场所为专用，未做居住、洗浴等其他功能使用</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立即停止用气，切断气源，按要求整改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未在同一房间内使用油、酒精、液化石油气、煤、柴等其他燃料</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立即停止用气，切断气源，按要求整改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用气房间或部位与其他部位之间采用防火分隔措施，且自然通风良好，通风不良场所设置机械通风装置，通风设施始终处于正常工作状态</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24" w:type="dxa"/>
            <w:vMerge w:val="continue"/>
            <w:vAlign w:val="center"/>
          </w:tcPr>
          <w:p>
            <w:pPr>
              <w:pStyle w:val="17"/>
              <w:ind w:firstLine="0" w:firstLineChars="0"/>
              <w:rPr>
                <w:rFonts w:ascii="宋体" w:hAnsi="宋体"/>
                <w:sz w:val="22"/>
              </w:rPr>
            </w:pPr>
          </w:p>
        </w:tc>
        <w:tc>
          <w:tcPr>
            <w:tcW w:w="3828" w:type="dxa"/>
            <w:vAlign w:val="center"/>
          </w:tcPr>
          <w:p>
            <w:pPr>
              <w:pStyle w:val="17"/>
              <w:ind w:firstLine="0" w:firstLineChars="0"/>
              <w:rPr>
                <w:rFonts w:ascii="宋体" w:hAnsi="宋体"/>
                <w:sz w:val="22"/>
              </w:rPr>
            </w:pPr>
            <w:r>
              <w:rPr>
                <w:rFonts w:hint="eastAsia" w:ascii="宋体" w:hAnsi="宋体"/>
                <w:sz w:val="22"/>
              </w:rPr>
              <w:t>设有厨房灭火装置的用户，具备发生火灾时联动关闭燃气功能；每个用气场所配备</w:t>
            </w:r>
            <w:r>
              <w:rPr>
                <w:rFonts w:ascii="宋体" w:hAnsi="宋体"/>
                <w:sz w:val="22"/>
              </w:rPr>
              <w:t>8kg</w:t>
            </w:r>
            <w:r>
              <w:rPr>
                <w:rFonts w:hint="eastAsia" w:ascii="宋体" w:hAnsi="宋体"/>
                <w:sz w:val="22"/>
              </w:rPr>
              <w:t>灭火器不少于</w:t>
            </w:r>
            <w:r>
              <w:rPr>
                <w:rFonts w:ascii="宋体" w:hAnsi="宋体"/>
                <w:sz w:val="22"/>
              </w:rPr>
              <w:t>2</w:t>
            </w:r>
            <w:r>
              <w:rPr>
                <w:rFonts w:hint="eastAsia" w:ascii="宋体" w:hAnsi="宋体"/>
                <w:sz w:val="22"/>
              </w:rPr>
              <w:t>只</w:t>
            </w:r>
          </w:p>
        </w:tc>
        <w:tc>
          <w:tcPr>
            <w:tcW w:w="1984" w:type="dxa"/>
            <w:vAlign w:val="center"/>
          </w:tcPr>
          <w:p>
            <w:pPr>
              <w:pStyle w:val="17"/>
              <w:ind w:firstLine="0" w:firstLineChars="0"/>
              <w:rPr>
                <w:rFonts w:ascii="宋体" w:hAnsi="宋体"/>
                <w:sz w:val="22"/>
              </w:rPr>
            </w:pPr>
            <w:r>
              <w:rPr>
                <w:rFonts w:hint="eastAsia" w:ascii="宋体" w:hAnsi="宋体"/>
                <w:sz w:val="22"/>
              </w:rPr>
              <w:t>符合□不符合□</w:t>
            </w:r>
          </w:p>
        </w:tc>
        <w:tc>
          <w:tcPr>
            <w:tcW w:w="2126" w:type="dxa"/>
            <w:vAlign w:val="center"/>
          </w:tcPr>
          <w:p>
            <w:pPr>
              <w:pStyle w:val="17"/>
              <w:ind w:firstLine="0" w:firstLineChars="0"/>
              <w:rPr>
                <w:rFonts w:ascii="宋体" w:hAnsi="宋体"/>
                <w:sz w:val="22"/>
              </w:rPr>
            </w:pPr>
            <w:r>
              <w:rPr>
                <w:rFonts w:hint="eastAsia" w:ascii="宋体" w:hAnsi="宋体"/>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4" w:type="dxa"/>
            <w:vAlign w:val="center"/>
          </w:tcPr>
          <w:p>
            <w:pPr>
              <w:pStyle w:val="17"/>
              <w:ind w:firstLine="0" w:firstLineChars="0"/>
              <w:rPr>
                <w:rFonts w:ascii="宋体" w:hAnsi="宋体"/>
                <w:sz w:val="22"/>
              </w:rPr>
            </w:pPr>
            <w:r>
              <w:rPr>
                <w:rFonts w:hint="eastAsia" w:ascii="宋体" w:hAnsi="宋体"/>
                <w:sz w:val="22"/>
              </w:rPr>
              <w:t>其他安全隐患</w:t>
            </w:r>
          </w:p>
        </w:tc>
        <w:tc>
          <w:tcPr>
            <w:tcW w:w="7938" w:type="dxa"/>
            <w:gridSpan w:val="3"/>
            <w:vAlign w:val="center"/>
          </w:tcPr>
          <w:p>
            <w:pPr>
              <w:pStyle w:val="17"/>
              <w:ind w:firstLine="0" w:firstLineChars="0"/>
              <w:rPr>
                <w:rFonts w:ascii="宋体" w:hAnsi="宋体"/>
                <w:sz w:val="22"/>
              </w:rPr>
            </w:pPr>
            <w:r>
              <w:rPr>
                <w:rFonts w:ascii="宋体" w:hAnsi="宋体"/>
                <w:sz w:val="22"/>
              </w:rPr>
              <w:t>　</w:t>
            </w:r>
          </w:p>
        </w:tc>
      </w:tr>
    </w:tbl>
    <w:p>
      <w:pPr>
        <w:pStyle w:val="17"/>
        <w:spacing w:line="600" w:lineRule="exact"/>
        <w:ind w:firstLine="0" w:firstLineChars="0"/>
        <w:jc w:val="left"/>
        <w:rPr>
          <w:rFonts w:ascii="宋体" w:hAnsi="宋体"/>
          <w:sz w:val="22"/>
        </w:rPr>
      </w:pPr>
      <w:r>
        <w:rPr>
          <w:rFonts w:hint="eastAsia" w:ascii="宋体" w:hAnsi="宋体"/>
          <w:sz w:val="22"/>
        </w:rPr>
        <w:t>本表由管道气非居民用户填写，报燃气经营企业汇总上报</w:t>
      </w:r>
    </w:p>
    <w:p>
      <w:pPr>
        <w:pStyle w:val="17"/>
        <w:spacing w:line="600" w:lineRule="exact"/>
        <w:ind w:firstLine="0" w:firstLineChars="0"/>
        <w:jc w:val="left"/>
        <w:rPr>
          <w:rFonts w:ascii="Times New Roman" w:hAnsi="Times New Roman" w:eastAsia="仿宋_GB2312"/>
          <w:sz w:val="32"/>
          <w:szCs w:val="32"/>
        </w:rPr>
      </w:pPr>
      <w:r>
        <w:rPr>
          <w:rFonts w:ascii="Times New Roman" w:hAnsi="Times New Roman" w:eastAsia="仿宋_GB2312"/>
          <w:sz w:val="32"/>
          <w:szCs w:val="32"/>
        </w:rPr>
        <w:br w:type="page"/>
      </w:r>
      <w:r>
        <w:rPr>
          <w:rFonts w:hint="eastAsia" w:ascii="仿宋_GB2312" w:hAnsi="仿宋_GB2312" w:eastAsia="仿宋_GB2312" w:cs="仿宋_GB2312"/>
          <w:sz w:val="32"/>
          <w:szCs w:val="32"/>
        </w:rPr>
        <w:t>附件4</w:t>
      </w:r>
    </w:p>
    <w:p>
      <w:pPr>
        <w:pStyle w:val="17"/>
        <w:spacing w:line="600" w:lineRule="exact"/>
        <w:ind w:firstLine="0" w:firstLineChars="0"/>
        <w:jc w:val="center"/>
        <w:rPr>
          <w:rFonts w:ascii="黑体" w:hAnsi="黑体" w:eastAsia="黑体"/>
          <w:sz w:val="32"/>
          <w:szCs w:val="32"/>
        </w:rPr>
      </w:pPr>
      <w:r>
        <w:rPr>
          <w:rFonts w:hint="eastAsia" w:ascii="黑体" w:hAnsi="黑体" w:eastAsia="黑体"/>
          <w:sz w:val="32"/>
          <w:szCs w:val="32"/>
        </w:rPr>
        <w:t>瓶装液化气非居民用户燃气设施安全自查表</w:t>
      </w:r>
    </w:p>
    <w:tbl>
      <w:tblPr>
        <w:tblStyle w:val="7"/>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274"/>
        <w:gridCol w:w="1280"/>
        <w:gridCol w:w="1680"/>
        <w:gridCol w:w="960"/>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6" w:type="dxa"/>
            <w:vAlign w:val="center"/>
          </w:tcPr>
          <w:p>
            <w:pPr>
              <w:rPr>
                <w:sz w:val="22"/>
              </w:rPr>
            </w:pPr>
            <w:r>
              <w:rPr>
                <w:rFonts w:hint="eastAsia"/>
                <w:sz w:val="22"/>
              </w:rPr>
              <w:t>用户名称</w:t>
            </w:r>
          </w:p>
        </w:tc>
        <w:tc>
          <w:tcPr>
            <w:tcW w:w="3554" w:type="dxa"/>
            <w:gridSpan w:val="2"/>
            <w:vAlign w:val="center"/>
          </w:tcPr>
          <w:p>
            <w:pPr>
              <w:rPr>
                <w:sz w:val="22"/>
              </w:rPr>
            </w:pPr>
            <w:r>
              <w:rPr>
                <w:sz w:val="22"/>
              </w:rPr>
              <w:t>　</w:t>
            </w:r>
          </w:p>
        </w:tc>
        <w:tc>
          <w:tcPr>
            <w:tcW w:w="1680" w:type="dxa"/>
            <w:vAlign w:val="center"/>
          </w:tcPr>
          <w:p>
            <w:pPr>
              <w:rPr>
                <w:sz w:val="22"/>
              </w:rPr>
            </w:pPr>
            <w:r>
              <w:rPr>
                <w:rFonts w:hint="eastAsia"/>
                <w:sz w:val="22"/>
              </w:rPr>
              <w:t>用户所在建筑名称</w:t>
            </w:r>
          </w:p>
        </w:tc>
        <w:tc>
          <w:tcPr>
            <w:tcW w:w="2562" w:type="dxa"/>
            <w:gridSpan w:val="2"/>
            <w:vAlign w:val="center"/>
          </w:tcPr>
          <w:p>
            <w:pPr>
              <w:rPr>
                <w:sz w:val="22"/>
              </w:rPr>
            </w:pPr>
            <w:r>
              <w:rPr>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6" w:type="dxa"/>
            <w:vAlign w:val="center"/>
          </w:tcPr>
          <w:p>
            <w:pPr>
              <w:rPr>
                <w:sz w:val="22"/>
              </w:rPr>
            </w:pPr>
            <w:r>
              <w:rPr>
                <w:rFonts w:hint="eastAsia"/>
                <w:sz w:val="22"/>
              </w:rPr>
              <w:t>用户地址</w:t>
            </w:r>
          </w:p>
        </w:tc>
        <w:tc>
          <w:tcPr>
            <w:tcW w:w="2274" w:type="dxa"/>
            <w:vAlign w:val="center"/>
          </w:tcPr>
          <w:p>
            <w:pPr>
              <w:rPr>
                <w:sz w:val="22"/>
              </w:rPr>
            </w:pPr>
            <w:r>
              <w:rPr>
                <w:sz w:val="22"/>
              </w:rPr>
              <w:t>　</w:t>
            </w:r>
          </w:p>
        </w:tc>
        <w:tc>
          <w:tcPr>
            <w:tcW w:w="1280" w:type="dxa"/>
            <w:vAlign w:val="center"/>
          </w:tcPr>
          <w:p>
            <w:pPr>
              <w:rPr>
                <w:sz w:val="22"/>
              </w:rPr>
            </w:pPr>
            <w:r>
              <w:rPr>
                <w:rFonts w:hint="eastAsia"/>
                <w:sz w:val="22"/>
              </w:rPr>
              <w:t>用户联系人</w:t>
            </w:r>
          </w:p>
        </w:tc>
        <w:tc>
          <w:tcPr>
            <w:tcW w:w="1680" w:type="dxa"/>
            <w:vAlign w:val="center"/>
          </w:tcPr>
          <w:p>
            <w:pPr>
              <w:rPr>
                <w:sz w:val="22"/>
              </w:rPr>
            </w:pPr>
            <w:r>
              <w:rPr>
                <w:sz w:val="22"/>
              </w:rPr>
              <w:t>　</w:t>
            </w:r>
          </w:p>
        </w:tc>
        <w:tc>
          <w:tcPr>
            <w:tcW w:w="960" w:type="dxa"/>
            <w:vAlign w:val="center"/>
          </w:tcPr>
          <w:p>
            <w:pPr>
              <w:rPr>
                <w:sz w:val="22"/>
              </w:rPr>
            </w:pPr>
            <w:r>
              <w:rPr>
                <w:rFonts w:hint="eastAsia"/>
                <w:sz w:val="22"/>
              </w:rPr>
              <w:t>用户电话</w:t>
            </w:r>
          </w:p>
        </w:tc>
        <w:tc>
          <w:tcPr>
            <w:tcW w:w="1602" w:type="dxa"/>
            <w:vAlign w:val="center"/>
          </w:tcPr>
          <w:p>
            <w:pPr>
              <w:rPr>
                <w:sz w:val="22"/>
              </w:rPr>
            </w:pPr>
            <w:r>
              <w:rPr>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66" w:type="dxa"/>
            <w:vMerge w:val="restart"/>
            <w:vAlign w:val="center"/>
          </w:tcPr>
          <w:p>
            <w:pPr>
              <w:rPr>
                <w:sz w:val="22"/>
              </w:rPr>
            </w:pPr>
            <w:r>
              <w:rPr>
                <w:rFonts w:hint="eastAsia"/>
                <w:sz w:val="22"/>
              </w:rPr>
              <w:t>供气企业</w:t>
            </w:r>
          </w:p>
        </w:tc>
        <w:tc>
          <w:tcPr>
            <w:tcW w:w="2274" w:type="dxa"/>
            <w:vAlign w:val="center"/>
          </w:tcPr>
          <w:p>
            <w:pPr>
              <w:rPr>
                <w:sz w:val="22"/>
              </w:rPr>
            </w:pPr>
            <w:r>
              <w:rPr>
                <w:rFonts w:hint="eastAsia"/>
                <w:sz w:val="22"/>
              </w:rPr>
              <w:t>名称：</w:t>
            </w:r>
          </w:p>
        </w:tc>
        <w:tc>
          <w:tcPr>
            <w:tcW w:w="1280" w:type="dxa"/>
            <w:vMerge w:val="restart"/>
            <w:vAlign w:val="center"/>
          </w:tcPr>
          <w:p>
            <w:pPr>
              <w:rPr>
                <w:sz w:val="22"/>
              </w:rPr>
            </w:pPr>
            <w:r>
              <w:rPr>
                <w:rFonts w:hint="eastAsia"/>
                <w:sz w:val="22"/>
              </w:rPr>
              <w:t>安全检查人</w:t>
            </w:r>
          </w:p>
        </w:tc>
        <w:tc>
          <w:tcPr>
            <w:tcW w:w="1680" w:type="dxa"/>
            <w:vMerge w:val="restart"/>
            <w:vAlign w:val="center"/>
          </w:tcPr>
          <w:p>
            <w:pPr>
              <w:rPr>
                <w:sz w:val="22"/>
              </w:rPr>
            </w:pPr>
            <w:r>
              <w:rPr>
                <w:sz w:val="22"/>
              </w:rPr>
              <w:t>　</w:t>
            </w:r>
          </w:p>
        </w:tc>
        <w:tc>
          <w:tcPr>
            <w:tcW w:w="960" w:type="dxa"/>
            <w:vMerge w:val="restart"/>
            <w:vAlign w:val="center"/>
          </w:tcPr>
          <w:p>
            <w:pPr>
              <w:rPr>
                <w:sz w:val="22"/>
              </w:rPr>
            </w:pPr>
            <w:r>
              <w:rPr>
                <w:rFonts w:hint="eastAsia"/>
                <w:sz w:val="22"/>
              </w:rPr>
              <w:t>检查时间</w:t>
            </w:r>
          </w:p>
        </w:tc>
        <w:tc>
          <w:tcPr>
            <w:tcW w:w="1602" w:type="dxa"/>
            <w:vMerge w:val="restart"/>
            <w:vAlign w:val="center"/>
          </w:tcPr>
          <w:p>
            <w:pPr>
              <w:rPr>
                <w:sz w:val="22"/>
              </w:rPr>
            </w:pPr>
            <w:r>
              <w:rPr>
                <w:rFonts w:hint="eastAsia"/>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66" w:type="dxa"/>
            <w:vMerge w:val="continue"/>
            <w:vAlign w:val="center"/>
          </w:tcPr>
          <w:p>
            <w:pPr>
              <w:rPr>
                <w:sz w:val="22"/>
              </w:rPr>
            </w:pPr>
          </w:p>
        </w:tc>
        <w:tc>
          <w:tcPr>
            <w:tcW w:w="2274" w:type="dxa"/>
            <w:vAlign w:val="center"/>
          </w:tcPr>
          <w:p>
            <w:pPr>
              <w:rPr>
                <w:sz w:val="22"/>
              </w:rPr>
            </w:pPr>
            <w:r>
              <w:rPr>
                <w:rFonts w:hint="eastAsia"/>
                <w:sz w:val="22"/>
              </w:rPr>
              <w:t>协议：有□；无□</w:t>
            </w:r>
          </w:p>
        </w:tc>
        <w:tc>
          <w:tcPr>
            <w:tcW w:w="1280" w:type="dxa"/>
            <w:vMerge w:val="continue"/>
            <w:vAlign w:val="center"/>
          </w:tcPr>
          <w:p>
            <w:pPr>
              <w:rPr>
                <w:sz w:val="22"/>
              </w:rPr>
            </w:pPr>
          </w:p>
        </w:tc>
        <w:tc>
          <w:tcPr>
            <w:tcW w:w="1680" w:type="dxa"/>
            <w:vMerge w:val="continue"/>
            <w:vAlign w:val="center"/>
          </w:tcPr>
          <w:p>
            <w:pPr>
              <w:rPr>
                <w:sz w:val="22"/>
              </w:rPr>
            </w:pPr>
          </w:p>
        </w:tc>
        <w:tc>
          <w:tcPr>
            <w:tcW w:w="960" w:type="dxa"/>
            <w:vMerge w:val="continue"/>
            <w:vAlign w:val="center"/>
          </w:tcPr>
          <w:p>
            <w:pPr>
              <w:rPr>
                <w:sz w:val="22"/>
              </w:rPr>
            </w:pPr>
          </w:p>
        </w:tc>
        <w:tc>
          <w:tcPr>
            <w:tcW w:w="1602" w:type="dxa"/>
            <w:vMerge w:val="continue"/>
            <w:vAlign w:val="center"/>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266" w:type="dxa"/>
            <w:vAlign w:val="center"/>
          </w:tcPr>
          <w:p>
            <w:pPr>
              <w:rPr>
                <w:sz w:val="22"/>
              </w:rPr>
            </w:pPr>
            <w:r>
              <w:rPr>
                <w:rFonts w:hint="eastAsia"/>
                <w:sz w:val="22"/>
              </w:rPr>
              <w:t>用气设备</w:t>
            </w:r>
          </w:p>
        </w:tc>
        <w:tc>
          <w:tcPr>
            <w:tcW w:w="7796" w:type="dxa"/>
            <w:gridSpan w:val="5"/>
            <w:vAlign w:val="center"/>
          </w:tcPr>
          <w:p>
            <w:pPr>
              <w:rPr>
                <w:sz w:val="22"/>
              </w:rPr>
            </w:pPr>
            <w:r>
              <w:rPr>
                <w:rFonts w:hint="eastAsia"/>
                <w:sz w:val="22"/>
              </w:rPr>
              <w:t>□燃气灶具（家用灶、中餐炒灶、大锅灶）；□蒸箱；□热水器；□锅炉；□热水炉；□其他：</w:t>
            </w:r>
          </w:p>
        </w:tc>
      </w:tr>
    </w:tbl>
    <w:p/>
    <w:tbl>
      <w:tblPr>
        <w:tblStyle w:val="7"/>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3828"/>
        <w:gridCol w:w="184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trPr>
        <w:tc>
          <w:tcPr>
            <w:tcW w:w="1124" w:type="dxa"/>
            <w:vAlign w:val="center"/>
          </w:tcPr>
          <w:p>
            <w:pPr>
              <w:jc w:val="center"/>
              <w:rPr>
                <w:b/>
                <w:bCs/>
                <w:sz w:val="22"/>
              </w:rPr>
            </w:pPr>
            <w:r>
              <w:rPr>
                <w:rFonts w:hint="eastAsia"/>
                <w:b/>
                <w:bCs/>
                <w:sz w:val="22"/>
              </w:rPr>
              <w:t>检查单元</w:t>
            </w:r>
          </w:p>
        </w:tc>
        <w:tc>
          <w:tcPr>
            <w:tcW w:w="3828" w:type="dxa"/>
            <w:vAlign w:val="center"/>
          </w:tcPr>
          <w:p>
            <w:pPr>
              <w:jc w:val="center"/>
              <w:rPr>
                <w:b/>
                <w:bCs/>
                <w:sz w:val="22"/>
              </w:rPr>
            </w:pPr>
            <w:r>
              <w:rPr>
                <w:rFonts w:hint="eastAsia"/>
                <w:b/>
                <w:bCs/>
                <w:sz w:val="22"/>
              </w:rPr>
              <w:t>检查项目</w:t>
            </w:r>
          </w:p>
        </w:tc>
        <w:tc>
          <w:tcPr>
            <w:tcW w:w="1842" w:type="dxa"/>
            <w:vAlign w:val="center"/>
          </w:tcPr>
          <w:p>
            <w:pPr>
              <w:jc w:val="center"/>
              <w:rPr>
                <w:b/>
                <w:bCs/>
                <w:sz w:val="22"/>
              </w:rPr>
            </w:pPr>
            <w:r>
              <w:rPr>
                <w:rFonts w:hint="eastAsia"/>
                <w:b/>
                <w:bCs/>
                <w:sz w:val="22"/>
              </w:rPr>
              <w:t>检查情况</w:t>
            </w:r>
          </w:p>
        </w:tc>
        <w:tc>
          <w:tcPr>
            <w:tcW w:w="2268" w:type="dxa"/>
            <w:vAlign w:val="center"/>
          </w:tcPr>
          <w:p>
            <w:pPr>
              <w:jc w:val="center"/>
              <w:rPr>
                <w:b/>
                <w:bCs/>
                <w:sz w:val="22"/>
              </w:rPr>
            </w:pPr>
            <w:r>
              <w:rPr>
                <w:rFonts w:hint="eastAsia"/>
                <w:b/>
                <w:bCs/>
                <w:sz w:val="22"/>
              </w:rPr>
              <w:t>不符合处置措施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restart"/>
            <w:vAlign w:val="center"/>
          </w:tcPr>
          <w:p>
            <w:pPr>
              <w:rPr>
                <w:sz w:val="22"/>
              </w:rPr>
            </w:pPr>
            <w:r>
              <w:rPr>
                <w:rFonts w:hint="eastAsia"/>
                <w:sz w:val="22"/>
              </w:rPr>
              <w:t>安全管理</w:t>
            </w:r>
          </w:p>
        </w:tc>
        <w:tc>
          <w:tcPr>
            <w:tcW w:w="3828" w:type="dxa"/>
            <w:vAlign w:val="center"/>
          </w:tcPr>
          <w:p>
            <w:pPr>
              <w:rPr>
                <w:sz w:val="22"/>
              </w:rPr>
            </w:pPr>
            <w:r>
              <w:rPr>
                <w:rFonts w:hint="eastAsia"/>
                <w:sz w:val="22"/>
              </w:rPr>
              <w:t>有燃气安全使用信息公示牌</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在醒目处设置公示牌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有安全管理制度或操作规程且在明显处张贴</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立即制定制度或操作规程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人员经过专业培训，熟悉安全用气操作</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立即请燃气公司对用气人员进行培训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有应急处置方案，且每半年进行</w:t>
            </w:r>
            <w:r>
              <w:rPr>
                <w:sz w:val="22"/>
              </w:rPr>
              <w:t>1</w:t>
            </w:r>
            <w:r>
              <w:rPr>
                <w:rFonts w:hint="eastAsia"/>
                <w:sz w:val="22"/>
              </w:rPr>
              <w:t>次应急处置演练</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立即制定应急处置方案并组织演练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与供气企业签订供用气合同</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立即补签合同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24" w:type="dxa"/>
            <w:vMerge w:val="continue"/>
            <w:vAlign w:val="center"/>
          </w:tcPr>
          <w:p>
            <w:pPr>
              <w:rPr>
                <w:sz w:val="22"/>
              </w:rPr>
            </w:pPr>
          </w:p>
        </w:tc>
        <w:tc>
          <w:tcPr>
            <w:tcW w:w="3828" w:type="dxa"/>
            <w:vAlign w:val="center"/>
          </w:tcPr>
          <w:p>
            <w:pPr>
              <w:rPr>
                <w:sz w:val="22"/>
              </w:rPr>
            </w:pPr>
            <w:r>
              <w:rPr>
                <w:rFonts w:hint="eastAsia"/>
                <w:sz w:val="22"/>
              </w:rPr>
              <w:t>进行过安全用气自检，有自检单，每月不少于</w:t>
            </w:r>
            <w:r>
              <w:rPr>
                <w:sz w:val="22"/>
              </w:rPr>
              <w:t>1</w:t>
            </w:r>
            <w:r>
              <w:rPr>
                <w:rFonts w:hint="eastAsia"/>
                <w:sz w:val="22"/>
              </w:rPr>
              <w:t>次</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供气企业入户安全检查每年不小于</w:t>
            </w:r>
            <w:r>
              <w:rPr>
                <w:sz w:val="22"/>
              </w:rPr>
              <w:t>1</w:t>
            </w:r>
            <w:r>
              <w:rPr>
                <w:rFonts w:hint="eastAsia"/>
                <w:sz w:val="22"/>
              </w:rPr>
              <w:t>次（提供供气企业检查表）</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通知供气企业立即安排上门安检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restart"/>
            <w:vAlign w:val="center"/>
          </w:tcPr>
          <w:p>
            <w:pPr>
              <w:rPr>
                <w:sz w:val="22"/>
              </w:rPr>
            </w:pPr>
            <w:r>
              <w:rPr>
                <w:rFonts w:hint="eastAsia"/>
                <w:sz w:val="22"/>
              </w:rPr>
              <w:t>泄漏检查</w:t>
            </w:r>
          </w:p>
        </w:tc>
        <w:tc>
          <w:tcPr>
            <w:tcW w:w="3828" w:type="dxa"/>
            <w:vAlign w:val="center"/>
          </w:tcPr>
          <w:p>
            <w:pPr>
              <w:rPr>
                <w:sz w:val="22"/>
              </w:rPr>
            </w:pPr>
            <w:r>
              <w:rPr>
                <w:rFonts w:hint="eastAsia"/>
                <w:sz w:val="22"/>
              </w:rPr>
              <w:t>钢瓶角阀、调压器、连接管连接紧密，无泄漏现象</w:t>
            </w:r>
          </w:p>
        </w:tc>
        <w:tc>
          <w:tcPr>
            <w:tcW w:w="1842" w:type="dxa"/>
            <w:vAlign w:val="center"/>
          </w:tcPr>
          <w:p>
            <w:pPr>
              <w:rPr>
                <w:sz w:val="22"/>
              </w:rPr>
            </w:pPr>
            <w:r>
              <w:rPr>
                <w:rFonts w:hint="eastAsia"/>
                <w:sz w:val="22"/>
              </w:rPr>
              <w:t>符合□不符合□</w:t>
            </w:r>
          </w:p>
        </w:tc>
        <w:tc>
          <w:tcPr>
            <w:tcW w:w="2268" w:type="dxa"/>
            <w:vMerge w:val="restart"/>
            <w:vAlign w:val="center"/>
          </w:tcPr>
          <w:p>
            <w:pPr>
              <w:rPr>
                <w:sz w:val="22"/>
              </w:rPr>
            </w:pPr>
            <w:r>
              <w:rPr>
                <w:rFonts w:hint="eastAsia"/>
                <w:sz w:val="22"/>
              </w:rPr>
              <w:t>立即停止用气，切断气源，维修或更换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使用专用卡箍，连接紧固，软管未脱落，无泄漏现象</w:t>
            </w:r>
          </w:p>
        </w:tc>
        <w:tc>
          <w:tcPr>
            <w:tcW w:w="1842" w:type="dxa"/>
            <w:vAlign w:val="center"/>
          </w:tcPr>
          <w:p>
            <w:pPr>
              <w:rPr>
                <w:sz w:val="22"/>
              </w:rPr>
            </w:pPr>
            <w:r>
              <w:rPr>
                <w:rFonts w:hint="eastAsia"/>
                <w:sz w:val="22"/>
              </w:rPr>
              <w:t>符合□不符合□</w:t>
            </w:r>
          </w:p>
        </w:tc>
        <w:tc>
          <w:tcPr>
            <w:tcW w:w="2268" w:type="dxa"/>
            <w:vMerge w:val="continue"/>
            <w:vAlign w:val="center"/>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restart"/>
            <w:vAlign w:val="center"/>
          </w:tcPr>
          <w:p>
            <w:pPr>
              <w:rPr>
                <w:sz w:val="22"/>
              </w:rPr>
            </w:pPr>
            <w:r>
              <w:rPr>
                <w:rFonts w:hint="eastAsia"/>
                <w:sz w:val="22"/>
              </w:rPr>
              <w:t>钢瓶存放及用气场所检查</w:t>
            </w:r>
          </w:p>
        </w:tc>
        <w:tc>
          <w:tcPr>
            <w:tcW w:w="3828" w:type="dxa"/>
            <w:vAlign w:val="center"/>
          </w:tcPr>
          <w:p>
            <w:pPr>
              <w:rPr>
                <w:sz w:val="22"/>
              </w:rPr>
            </w:pPr>
            <w:r>
              <w:rPr>
                <w:rFonts w:hint="eastAsia"/>
                <w:sz w:val="22"/>
              </w:rPr>
              <w:t>钢瓶在检验有效期内</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立即停用，退回供气企业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钢瓶未摆放在密闭橱柜中</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按要求整改，应保持通风良好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未超量存放钢瓶</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减少钢瓶数量或设置专用储瓶间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未使用油、酒精、生物质燃料、煤、柴等其他燃料</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立即停止用气，切断气源，按要求整改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钢瓶存放和用气房间为专用，未做居住、洗浴等其他功能使用</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立即停止用气，切断气源，按要求整改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安装有燃气泄漏报警器，间距小于</w:t>
            </w:r>
            <w:r>
              <w:rPr>
                <w:sz w:val="22"/>
              </w:rPr>
              <w:t>4</w:t>
            </w:r>
            <w:r>
              <w:rPr>
                <w:rFonts w:hint="eastAsia"/>
                <w:sz w:val="22"/>
              </w:rPr>
              <w:t>米，距地面小于</w:t>
            </w:r>
            <w:r>
              <w:rPr>
                <w:sz w:val="22"/>
              </w:rPr>
              <w:t>30cm</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报警器检定（校验）有效期</w:t>
            </w:r>
            <w:r>
              <w:rPr>
                <w:sz w:val="22"/>
              </w:rPr>
              <w:t>1</w:t>
            </w:r>
            <w:r>
              <w:rPr>
                <w:rFonts w:hint="eastAsia"/>
                <w:sz w:val="22"/>
              </w:rPr>
              <w:t>年</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立即停用，安排校验检定或更换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安装有燃气泄漏安全保护装置（切断阀两端不得采用软管连接）</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restart"/>
            <w:vAlign w:val="center"/>
          </w:tcPr>
          <w:p>
            <w:pPr>
              <w:rPr>
                <w:sz w:val="22"/>
              </w:rPr>
            </w:pPr>
            <w:r>
              <w:rPr>
                <w:rFonts w:hint="eastAsia"/>
                <w:sz w:val="22"/>
              </w:rPr>
              <w:t>调压器</w:t>
            </w:r>
          </w:p>
        </w:tc>
        <w:tc>
          <w:tcPr>
            <w:tcW w:w="3828" w:type="dxa"/>
            <w:vAlign w:val="center"/>
          </w:tcPr>
          <w:p>
            <w:pPr>
              <w:rPr>
                <w:sz w:val="22"/>
              </w:rPr>
            </w:pPr>
            <w:r>
              <w:rPr>
                <w:rFonts w:hint="eastAsia"/>
                <w:sz w:val="22"/>
              </w:rPr>
              <w:t>调压器为商用非可调式螺纹接口，未使用可调压式中、高压调压器</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明显标识安装使用时间，且未超过</w:t>
            </w:r>
            <w:r>
              <w:rPr>
                <w:sz w:val="22"/>
              </w:rPr>
              <w:t>8</w:t>
            </w:r>
            <w:r>
              <w:rPr>
                <w:rFonts w:hint="eastAsia"/>
                <w:sz w:val="22"/>
              </w:rPr>
              <w:t>年</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restart"/>
            <w:vAlign w:val="center"/>
          </w:tcPr>
          <w:p>
            <w:pPr>
              <w:rPr>
                <w:sz w:val="22"/>
              </w:rPr>
            </w:pPr>
            <w:r>
              <w:rPr>
                <w:rFonts w:hint="eastAsia"/>
                <w:sz w:val="22"/>
              </w:rPr>
              <w:t>连接软管</w:t>
            </w:r>
          </w:p>
        </w:tc>
        <w:tc>
          <w:tcPr>
            <w:tcW w:w="3828" w:type="dxa"/>
            <w:vAlign w:val="center"/>
          </w:tcPr>
          <w:p>
            <w:pPr>
              <w:rPr>
                <w:sz w:val="22"/>
              </w:rPr>
            </w:pPr>
            <w:r>
              <w:rPr>
                <w:rFonts w:hint="eastAsia"/>
                <w:sz w:val="22"/>
              </w:rPr>
              <w:t>采用液化气钢瓶专用连接软管</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立即更换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24" w:type="dxa"/>
            <w:vMerge w:val="continue"/>
            <w:vAlign w:val="center"/>
          </w:tcPr>
          <w:p>
            <w:pPr>
              <w:rPr>
                <w:sz w:val="22"/>
              </w:rPr>
            </w:pPr>
          </w:p>
        </w:tc>
        <w:tc>
          <w:tcPr>
            <w:tcW w:w="3828" w:type="dxa"/>
            <w:vAlign w:val="center"/>
          </w:tcPr>
          <w:p>
            <w:pPr>
              <w:rPr>
                <w:sz w:val="22"/>
              </w:rPr>
            </w:pPr>
            <w:r>
              <w:rPr>
                <w:rFonts w:hint="eastAsia"/>
                <w:sz w:val="22"/>
              </w:rPr>
              <w:t>软管无变硬、发黏等老化迹象，无龟裂、破损、磨损等现象，金属软管无明显锈蚀、破损、磨损等现象</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明显标识安装使用时间，且未超过产品设计使用年限</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软管长度不超过</w:t>
            </w:r>
            <w:r>
              <w:rPr>
                <w:sz w:val="22"/>
              </w:rPr>
              <w:t>2.0m</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软管中间无接口，无三通分流</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软管无穿越墙、橱柜、暗埋等现象</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restart"/>
            <w:vAlign w:val="center"/>
          </w:tcPr>
          <w:p>
            <w:pPr>
              <w:rPr>
                <w:sz w:val="22"/>
              </w:rPr>
            </w:pPr>
            <w:r>
              <w:rPr>
                <w:rFonts w:hint="eastAsia"/>
                <w:sz w:val="22"/>
              </w:rPr>
              <w:t>燃烧器具</w:t>
            </w:r>
          </w:p>
        </w:tc>
        <w:tc>
          <w:tcPr>
            <w:tcW w:w="3828" w:type="dxa"/>
            <w:vAlign w:val="center"/>
          </w:tcPr>
          <w:p>
            <w:pPr>
              <w:rPr>
                <w:sz w:val="22"/>
              </w:rPr>
            </w:pPr>
            <w:r>
              <w:rPr>
                <w:rFonts w:hint="eastAsia"/>
                <w:sz w:val="22"/>
              </w:rPr>
              <w:t>明显标识安装使用时间，且未超过产品设计使用年限</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未使用猛火灶</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立即停止用气，切断气源，更换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使用螺纹接口的硬管、金属软管和专用阀门连接</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立即停止用气，切断气源，建议更换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有熄火保护装置，且工作正常</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立即停止用气，切断气源，请厂家维修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24" w:type="dxa"/>
            <w:vMerge w:val="continue"/>
            <w:vAlign w:val="center"/>
          </w:tcPr>
          <w:p>
            <w:pPr>
              <w:rPr>
                <w:sz w:val="22"/>
              </w:rPr>
            </w:pPr>
          </w:p>
        </w:tc>
        <w:tc>
          <w:tcPr>
            <w:tcW w:w="3828" w:type="dxa"/>
            <w:vAlign w:val="center"/>
          </w:tcPr>
          <w:p>
            <w:pPr>
              <w:rPr>
                <w:sz w:val="22"/>
              </w:rPr>
            </w:pPr>
            <w:r>
              <w:rPr>
                <w:rFonts w:hint="eastAsia"/>
                <w:sz w:val="22"/>
              </w:rPr>
              <w:t>燃烧正常，无黑烟、红火，无泄漏，烟道安装紧密、完好、畅通、规范、通出室外</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立即停止用气，切断气源，按要求整改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24" w:type="dxa"/>
            <w:vMerge w:val="continue"/>
            <w:vAlign w:val="center"/>
          </w:tcPr>
          <w:p>
            <w:pPr>
              <w:rPr>
                <w:sz w:val="22"/>
              </w:rPr>
            </w:pPr>
          </w:p>
        </w:tc>
        <w:tc>
          <w:tcPr>
            <w:tcW w:w="3828" w:type="dxa"/>
            <w:vAlign w:val="center"/>
          </w:tcPr>
          <w:p>
            <w:pPr>
              <w:rPr>
                <w:sz w:val="22"/>
              </w:rPr>
            </w:pPr>
            <w:r>
              <w:rPr>
                <w:rFonts w:hint="eastAsia"/>
                <w:sz w:val="22"/>
              </w:rPr>
              <w:t>燃气燃烧器具在关闭状态下，无泄漏现象</w:t>
            </w:r>
          </w:p>
        </w:tc>
        <w:tc>
          <w:tcPr>
            <w:tcW w:w="1842" w:type="dxa"/>
            <w:vAlign w:val="center"/>
          </w:tcPr>
          <w:p>
            <w:pPr>
              <w:rPr>
                <w:sz w:val="22"/>
              </w:rPr>
            </w:pPr>
            <w:r>
              <w:rPr>
                <w:rFonts w:hint="eastAsia"/>
                <w:sz w:val="22"/>
              </w:rPr>
              <w:t>符合□不符合□</w:t>
            </w:r>
          </w:p>
        </w:tc>
        <w:tc>
          <w:tcPr>
            <w:tcW w:w="2268" w:type="dxa"/>
            <w:vAlign w:val="center"/>
          </w:tcPr>
          <w:p>
            <w:pPr>
              <w:rPr>
                <w:sz w:val="22"/>
              </w:rPr>
            </w:pPr>
            <w:r>
              <w:rPr>
                <w:rFonts w:hint="eastAsia"/>
                <w:sz w:val="22"/>
              </w:rPr>
              <w:t>立即停止用气，切断气源，请厂家维修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4" w:type="dxa"/>
            <w:vAlign w:val="center"/>
          </w:tcPr>
          <w:p>
            <w:pPr>
              <w:rPr>
                <w:sz w:val="22"/>
              </w:rPr>
            </w:pPr>
            <w:r>
              <w:rPr>
                <w:rFonts w:hint="eastAsia"/>
                <w:sz w:val="22"/>
              </w:rPr>
              <w:t>其他安全隐患</w:t>
            </w:r>
          </w:p>
        </w:tc>
        <w:tc>
          <w:tcPr>
            <w:tcW w:w="7938" w:type="dxa"/>
            <w:gridSpan w:val="3"/>
            <w:vAlign w:val="center"/>
          </w:tcPr>
          <w:p>
            <w:pPr>
              <w:rPr>
                <w:sz w:val="22"/>
              </w:rPr>
            </w:pPr>
            <w:r>
              <w:rPr>
                <w:sz w:val="22"/>
              </w:rPr>
              <w:t>　</w:t>
            </w:r>
          </w:p>
        </w:tc>
      </w:tr>
    </w:tbl>
    <w:p>
      <w:pPr>
        <w:pStyle w:val="17"/>
        <w:spacing w:line="600" w:lineRule="exact"/>
        <w:ind w:firstLine="0" w:firstLineChars="0"/>
        <w:jc w:val="left"/>
        <w:rPr>
          <w:rFonts w:ascii="Times New Roman" w:hAnsi="Times New Roman" w:eastAsia="仿宋_GB2312"/>
          <w:sz w:val="32"/>
          <w:szCs w:val="32"/>
        </w:rPr>
        <w:sectPr>
          <w:pgSz w:w="11906" w:h="16838"/>
          <w:pgMar w:top="1559" w:right="1418" w:bottom="1588" w:left="1418" w:header="851" w:footer="992" w:gutter="0"/>
          <w:pgNumType w:fmt="decimal"/>
          <w:cols w:space="720" w:num="1"/>
          <w:docGrid w:type="lines" w:linePitch="312" w:charSpace="0"/>
        </w:sectPr>
      </w:pPr>
      <w:r>
        <w:rPr>
          <w:rFonts w:hint="eastAsia" w:ascii="宋体" w:hAnsi="宋体"/>
          <w:sz w:val="22"/>
        </w:rPr>
        <w:t>本表由瓶装液化气非居民用户填写，报燃气经营企业汇总上报</w:t>
      </w:r>
    </w:p>
    <w:p>
      <w:pPr>
        <w:pStyle w:val="17"/>
        <w:spacing w:line="60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pStyle w:val="17"/>
        <w:spacing w:line="600" w:lineRule="exact"/>
        <w:ind w:firstLine="0" w:firstLineChars="0"/>
        <w:jc w:val="center"/>
        <w:rPr>
          <w:rFonts w:ascii="黑体" w:hAnsi="黑体" w:eastAsia="黑体"/>
          <w:sz w:val="32"/>
          <w:szCs w:val="32"/>
        </w:rPr>
      </w:pPr>
      <w:r>
        <w:rPr>
          <w:rFonts w:hint="eastAsia" w:ascii="黑体" w:hAnsi="黑体" w:eastAsia="黑体"/>
          <w:sz w:val="32"/>
          <w:szCs w:val="32"/>
        </w:rPr>
        <w:t>报警装置专项工作统计表</w:t>
      </w:r>
    </w:p>
    <w:p>
      <w:pPr>
        <w:pStyle w:val="17"/>
        <w:spacing w:line="600" w:lineRule="exact"/>
        <w:ind w:firstLine="0" w:firstLineChars="0"/>
        <w:jc w:val="left"/>
        <w:rPr>
          <w:rFonts w:ascii="宋体" w:hAnsi="宋体"/>
          <w:sz w:val="24"/>
          <w:szCs w:val="24"/>
        </w:rPr>
      </w:pPr>
      <w:r>
        <w:rPr>
          <w:rFonts w:hint="eastAsia" w:ascii="宋体" w:hAnsi="宋体"/>
          <w:sz w:val="24"/>
          <w:szCs w:val="24"/>
        </w:rPr>
        <w:t>单位：</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260"/>
        <w:gridCol w:w="4656"/>
        <w:gridCol w:w="1391"/>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294" w:type="pct"/>
            <w:vAlign w:val="center"/>
          </w:tcPr>
          <w:p>
            <w:pPr>
              <w:jc w:val="center"/>
              <w:rPr>
                <w:b/>
                <w:bCs/>
                <w:sz w:val="24"/>
                <w:szCs w:val="24"/>
              </w:rPr>
            </w:pPr>
            <w:r>
              <w:rPr>
                <w:rFonts w:hint="eastAsia"/>
                <w:b/>
                <w:bCs/>
                <w:sz w:val="24"/>
                <w:szCs w:val="24"/>
              </w:rPr>
              <w:t>序号</w:t>
            </w:r>
          </w:p>
        </w:tc>
        <w:tc>
          <w:tcPr>
            <w:tcW w:w="1172" w:type="pct"/>
            <w:vAlign w:val="center"/>
          </w:tcPr>
          <w:p>
            <w:pPr>
              <w:jc w:val="center"/>
              <w:rPr>
                <w:b/>
                <w:bCs/>
                <w:sz w:val="24"/>
                <w:szCs w:val="24"/>
              </w:rPr>
            </w:pPr>
            <w:r>
              <w:rPr>
                <w:rFonts w:hint="eastAsia"/>
                <w:b/>
                <w:bCs/>
                <w:sz w:val="24"/>
                <w:szCs w:val="24"/>
              </w:rPr>
              <w:t>工作任务</w:t>
            </w:r>
          </w:p>
        </w:tc>
        <w:tc>
          <w:tcPr>
            <w:tcW w:w="1674" w:type="pct"/>
            <w:vAlign w:val="center"/>
          </w:tcPr>
          <w:p>
            <w:pPr>
              <w:jc w:val="center"/>
              <w:rPr>
                <w:b/>
                <w:bCs/>
                <w:sz w:val="24"/>
                <w:szCs w:val="24"/>
              </w:rPr>
            </w:pPr>
            <w:r>
              <w:rPr>
                <w:rFonts w:hint="eastAsia"/>
                <w:b/>
                <w:bCs/>
                <w:sz w:val="24"/>
                <w:szCs w:val="24"/>
              </w:rPr>
              <w:t>工作内容</w:t>
            </w:r>
          </w:p>
        </w:tc>
        <w:tc>
          <w:tcPr>
            <w:tcW w:w="500" w:type="pct"/>
            <w:noWrap/>
            <w:vAlign w:val="center"/>
          </w:tcPr>
          <w:p>
            <w:pPr>
              <w:jc w:val="center"/>
              <w:rPr>
                <w:b/>
                <w:bCs/>
                <w:sz w:val="24"/>
                <w:szCs w:val="24"/>
              </w:rPr>
            </w:pPr>
            <w:r>
              <w:rPr>
                <w:rFonts w:hint="eastAsia"/>
                <w:b/>
                <w:bCs/>
                <w:sz w:val="24"/>
                <w:szCs w:val="24"/>
              </w:rPr>
              <w:t>责任单位</w:t>
            </w:r>
          </w:p>
        </w:tc>
        <w:tc>
          <w:tcPr>
            <w:tcW w:w="1360" w:type="pct"/>
            <w:vAlign w:val="center"/>
          </w:tcPr>
          <w:p>
            <w:pPr>
              <w:jc w:val="center"/>
              <w:rPr>
                <w:b/>
                <w:bCs/>
                <w:sz w:val="24"/>
                <w:szCs w:val="24"/>
              </w:rPr>
            </w:pPr>
            <w:r>
              <w:rPr>
                <w:rFonts w:hint="eastAsia"/>
                <w:b/>
                <w:bCs/>
                <w:sz w:val="24"/>
                <w:szCs w:val="24"/>
              </w:rPr>
              <w:t>工作结果综述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294" w:type="pct"/>
            <w:noWrap/>
            <w:vAlign w:val="center"/>
          </w:tcPr>
          <w:p>
            <w:pPr>
              <w:jc w:val="center"/>
              <w:rPr>
                <w:sz w:val="24"/>
                <w:szCs w:val="24"/>
              </w:rPr>
            </w:pPr>
            <w:r>
              <w:rPr>
                <w:rFonts w:hint="eastAsia"/>
                <w:sz w:val="24"/>
                <w:szCs w:val="24"/>
              </w:rPr>
              <w:t>1</w:t>
            </w:r>
          </w:p>
        </w:tc>
        <w:tc>
          <w:tcPr>
            <w:tcW w:w="1172" w:type="pct"/>
            <w:vAlign w:val="center"/>
          </w:tcPr>
          <w:p>
            <w:pPr>
              <w:rPr>
                <w:sz w:val="24"/>
                <w:szCs w:val="24"/>
              </w:rPr>
            </w:pPr>
            <w:r>
              <w:rPr>
                <w:rFonts w:hint="eastAsia" w:ascii="宋体" w:hAnsi="宋体" w:cs="宋体"/>
                <w:b/>
                <w:bCs/>
                <w:kern w:val="0"/>
                <w:sz w:val="24"/>
                <w:szCs w:val="24"/>
              </w:rPr>
              <w:t>任务分解表第</w:t>
            </w:r>
            <w:r>
              <w:rPr>
                <w:rFonts w:ascii="宋体" w:hAnsi="宋体" w:cs="宋体"/>
                <w:b/>
                <w:bCs/>
                <w:kern w:val="0"/>
                <w:sz w:val="24"/>
                <w:szCs w:val="24"/>
              </w:rPr>
              <w:t>4</w:t>
            </w:r>
            <w:r>
              <w:rPr>
                <w:rFonts w:hint="eastAsia" w:ascii="宋体" w:hAnsi="宋体" w:cs="宋体"/>
                <w:b/>
                <w:bCs/>
                <w:kern w:val="0"/>
                <w:sz w:val="24"/>
                <w:szCs w:val="24"/>
              </w:rPr>
              <w:t>项：</w:t>
            </w:r>
            <w:r>
              <w:rPr>
                <w:rFonts w:hint="eastAsia"/>
                <w:sz w:val="24"/>
                <w:szCs w:val="24"/>
              </w:rPr>
              <w:t>燃气经营企业要对燃气用户开展用气安全隐患排查工作；要指导和协助燃气用户开展燃气安全隐患自查（附件3、4）；要配合各行业领域主管部门组织开展的人员密集场所安全隐患排查工作。</w:t>
            </w:r>
          </w:p>
        </w:tc>
        <w:tc>
          <w:tcPr>
            <w:tcW w:w="1674" w:type="pct"/>
            <w:vAlign w:val="center"/>
          </w:tcPr>
          <w:p>
            <w:pPr>
              <w:rPr>
                <w:sz w:val="24"/>
                <w:szCs w:val="24"/>
              </w:rPr>
            </w:pPr>
            <w:r>
              <w:rPr>
                <w:rFonts w:hint="eastAsia"/>
                <w:sz w:val="24"/>
                <w:szCs w:val="24"/>
              </w:rPr>
              <w:t>开展用户安检和隐患排查；</w:t>
            </w:r>
          </w:p>
          <w:p>
            <w:pPr>
              <w:rPr>
                <w:sz w:val="24"/>
                <w:szCs w:val="24"/>
              </w:rPr>
            </w:pPr>
            <w:r>
              <w:rPr>
                <w:rFonts w:hint="eastAsia"/>
                <w:sz w:val="24"/>
                <w:szCs w:val="24"/>
              </w:rPr>
              <w:t>协助燃气用户开展报警器安装自查。</w:t>
            </w:r>
          </w:p>
          <w:p>
            <w:pPr>
              <w:rPr>
                <w:sz w:val="24"/>
                <w:szCs w:val="24"/>
              </w:rPr>
            </w:pPr>
            <w:r>
              <w:rPr>
                <w:rFonts w:hint="eastAsia"/>
                <w:sz w:val="24"/>
                <w:szCs w:val="24"/>
              </w:rPr>
              <w:t>（内容包括不安装可燃气体报警装置或安装位置不正确、适用气种不符或功能过期失效。）</w:t>
            </w:r>
          </w:p>
        </w:tc>
        <w:tc>
          <w:tcPr>
            <w:tcW w:w="500" w:type="pct"/>
            <w:vAlign w:val="center"/>
          </w:tcPr>
          <w:p>
            <w:pPr>
              <w:rPr>
                <w:sz w:val="24"/>
                <w:szCs w:val="24"/>
              </w:rPr>
            </w:pPr>
            <w:r>
              <w:rPr>
                <w:rFonts w:hint="eastAsia"/>
                <w:sz w:val="24"/>
                <w:szCs w:val="24"/>
              </w:rPr>
              <w:t>各燃气经营企业</w:t>
            </w:r>
          </w:p>
        </w:tc>
        <w:tc>
          <w:tcPr>
            <w:tcW w:w="1360"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94" w:type="pct"/>
            <w:vMerge w:val="restart"/>
            <w:noWrap/>
            <w:vAlign w:val="center"/>
          </w:tcPr>
          <w:p>
            <w:pPr>
              <w:jc w:val="center"/>
              <w:rPr>
                <w:sz w:val="24"/>
                <w:szCs w:val="24"/>
              </w:rPr>
            </w:pPr>
            <w:r>
              <w:rPr>
                <w:rFonts w:hint="eastAsia"/>
                <w:sz w:val="24"/>
                <w:szCs w:val="24"/>
              </w:rPr>
              <w:t>2</w:t>
            </w:r>
          </w:p>
        </w:tc>
        <w:tc>
          <w:tcPr>
            <w:tcW w:w="1172" w:type="pct"/>
            <w:vMerge w:val="restart"/>
            <w:vAlign w:val="center"/>
          </w:tcPr>
          <w:p>
            <w:pPr>
              <w:rPr>
                <w:sz w:val="24"/>
                <w:szCs w:val="24"/>
              </w:rPr>
            </w:pPr>
            <w:r>
              <w:rPr>
                <w:rFonts w:hint="eastAsia" w:ascii="宋体" w:hAnsi="宋体" w:cs="宋体"/>
                <w:b/>
                <w:bCs/>
                <w:kern w:val="0"/>
                <w:sz w:val="24"/>
                <w:szCs w:val="24"/>
              </w:rPr>
              <w:t>任务分解表第</w:t>
            </w:r>
            <w:r>
              <w:rPr>
                <w:rFonts w:ascii="宋体" w:hAnsi="宋体" w:cs="宋体"/>
                <w:b/>
                <w:bCs/>
                <w:kern w:val="0"/>
                <w:sz w:val="24"/>
                <w:szCs w:val="24"/>
              </w:rPr>
              <w:t>5</w:t>
            </w:r>
            <w:r>
              <w:rPr>
                <w:rFonts w:hint="eastAsia" w:ascii="宋体" w:hAnsi="宋体" w:cs="宋体"/>
                <w:b/>
                <w:bCs/>
                <w:kern w:val="0"/>
                <w:sz w:val="24"/>
                <w:szCs w:val="24"/>
              </w:rPr>
              <w:t>项：</w:t>
            </w:r>
            <w:r>
              <w:rPr>
                <w:rFonts w:hint="eastAsia" w:ascii="宋体" w:hAnsi="宋体" w:cs="宋体"/>
                <w:kern w:val="0"/>
                <w:sz w:val="24"/>
                <w:szCs w:val="24"/>
              </w:rPr>
              <w:t>燃气经营企业要根据《安全生产法》（2021版）和《上海市燃气管理条例》规定，严格把关安全用气条件，配合各行业领域主管部门共同推动可燃气体报警装置安装工作（附件5）。</w:t>
            </w:r>
          </w:p>
        </w:tc>
        <w:tc>
          <w:tcPr>
            <w:tcW w:w="1674" w:type="pct"/>
            <w:vAlign w:val="center"/>
          </w:tcPr>
          <w:p>
            <w:pPr>
              <w:rPr>
                <w:sz w:val="24"/>
                <w:szCs w:val="24"/>
              </w:rPr>
            </w:pPr>
            <w:r>
              <w:rPr>
                <w:rFonts w:hint="eastAsia"/>
                <w:sz w:val="24"/>
                <w:szCs w:val="24"/>
              </w:rPr>
              <w:t>开展燃气安全教育和使用燃气的餐饮用户落实新修订的《安全生产法》中安装可燃气体报警装置的宣传。</w:t>
            </w:r>
          </w:p>
        </w:tc>
        <w:tc>
          <w:tcPr>
            <w:tcW w:w="500" w:type="pct"/>
            <w:vAlign w:val="center"/>
          </w:tcPr>
          <w:p>
            <w:pPr>
              <w:rPr>
                <w:sz w:val="24"/>
                <w:szCs w:val="24"/>
              </w:rPr>
            </w:pPr>
            <w:r>
              <w:rPr>
                <w:rFonts w:hint="eastAsia"/>
                <w:sz w:val="24"/>
                <w:szCs w:val="24"/>
              </w:rPr>
              <w:t>各燃气经营企业、各区燃气管理部门</w:t>
            </w:r>
          </w:p>
        </w:tc>
        <w:tc>
          <w:tcPr>
            <w:tcW w:w="1360"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94" w:type="pct"/>
            <w:vMerge w:val="continue"/>
            <w:vAlign w:val="center"/>
          </w:tcPr>
          <w:p>
            <w:pPr>
              <w:jc w:val="center"/>
              <w:rPr>
                <w:sz w:val="24"/>
                <w:szCs w:val="24"/>
              </w:rPr>
            </w:pPr>
          </w:p>
        </w:tc>
        <w:tc>
          <w:tcPr>
            <w:tcW w:w="1172" w:type="pct"/>
            <w:vMerge w:val="continue"/>
            <w:vAlign w:val="center"/>
          </w:tcPr>
          <w:p>
            <w:pPr>
              <w:rPr>
                <w:sz w:val="24"/>
                <w:szCs w:val="24"/>
              </w:rPr>
            </w:pPr>
          </w:p>
        </w:tc>
        <w:tc>
          <w:tcPr>
            <w:tcW w:w="1674" w:type="pct"/>
            <w:vAlign w:val="center"/>
          </w:tcPr>
          <w:p>
            <w:pPr>
              <w:rPr>
                <w:sz w:val="24"/>
                <w:szCs w:val="24"/>
              </w:rPr>
            </w:pPr>
            <w:r>
              <w:rPr>
                <w:rFonts w:hint="eastAsia"/>
                <w:sz w:val="24"/>
                <w:szCs w:val="24"/>
              </w:rPr>
              <w:t>对未安装可燃气体报警装置用户形成分行业整改用户列表，配合各行业领域主管部门和街镇可燃气体报警装置安装推进工作。</w:t>
            </w:r>
          </w:p>
        </w:tc>
        <w:tc>
          <w:tcPr>
            <w:tcW w:w="500" w:type="pct"/>
            <w:vMerge w:val="restart"/>
            <w:vAlign w:val="center"/>
          </w:tcPr>
          <w:p>
            <w:pPr>
              <w:rPr>
                <w:sz w:val="24"/>
                <w:szCs w:val="24"/>
              </w:rPr>
            </w:pPr>
            <w:r>
              <w:rPr>
                <w:rFonts w:hint="eastAsia"/>
                <w:sz w:val="24"/>
                <w:szCs w:val="24"/>
              </w:rPr>
              <w:t>各燃气经营企业</w:t>
            </w:r>
          </w:p>
        </w:tc>
        <w:tc>
          <w:tcPr>
            <w:tcW w:w="1360"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94" w:type="pct"/>
            <w:vMerge w:val="continue"/>
            <w:vAlign w:val="center"/>
          </w:tcPr>
          <w:p>
            <w:pPr>
              <w:jc w:val="center"/>
              <w:rPr>
                <w:sz w:val="24"/>
                <w:szCs w:val="24"/>
              </w:rPr>
            </w:pPr>
          </w:p>
        </w:tc>
        <w:tc>
          <w:tcPr>
            <w:tcW w:w="1172" w:type="pct"/>
            <w:vMerge w:val="continue"/>
            <w:vAlign w:val="center"/>
          </w:tcPr>
          <w:p>
            <w:pPr>
              <w:rPr>
                <w:sz w:val="24"/>
                <w:szCs w:val="24"/>
              </w:rPr>
            </w:pPr>
          </w:p>
        </w:tc>
        <w:tc>
          <w:tcPr>
            <w:tcW w:w="1674" w:type="pct"/>
            <w:vAlign w:val="center"/>
          </w:tcPr>
          <w:p>
            <w:pPr>
              <w:rPr>
                <w:sz w:val="24"/>
                <w:szCs w:val="24"/>
              </w:rPr>
            </w:pPr>
            <w:r>
              <w:rPr>
                <w:rFonts w:hint="eastAsia"/>
                <w:sz w:val="24"/>
                <w:szCs w:val="24"/>
              </w:rPr>
              <w:t>做好可燃气体报警装置的安装指导服务,充分考虑不同规模各类餐饮生产经营单位的特殊性制定和公开验收标准。</w:t>
            </w:r>
          </w:p>
        </w:tc>
        <w:tc>
          <w:tcPr>
            <w:tcW w:w="500" w:type="pct"/>
            <w:vMerge w:val="continue"/>
            <w:vAlign w:val="center"/>
          </w:tcPr>
          <w:p>
            <w:pPr>
              <w:rPr>
                <w:sz w:val="24"/>
                <w:szCs w:val="24"/>
              </w:rPr>
            </w:pPr>
          </w:p>
        </w:tc>
        <w:tc>
          <w:tcPr>
            <w:tcW w:w="1360"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94" w:type="pct"/>
            <w:vMerge w:val="continue"/>
            <w:vAlign w:val="center"/>
          </w:tcPr>
          <w:p>
            <w:pPr>
              <w:jc w:val="center"/>
              <w:rPr>
                <w:sz w:val="24"/>
                <w:szCs w:val="24"/>
              </w:rPr>
            </w:pPr>
          </w:p>
        </w:tc>
        <w:tc>
          <w:tcPr>
            <w:tcW w:w="1172" w:type="pct"/>
            <w:vMerge w:val="continue"/>
            <w:vAlign w:val="center"/>
          </w:tcPr>
          <w:p>
            <w:pPr>
              <w:rPr>
                <w:sz w:val="24"/>
                <w:szCs w:val="24"/>
              </w:rPr>
            </w:pPr>
          </w:p>
        </w:tc>
        <w:tc>
          <w:tcPr>
            <w:tcW w:w="1674" w:type="pct"/>
            <w:vAlign w:val="center"/>
          </w:tcPr>
          <w:p>
            <w:pPr>
              <w:rPr>
                <w:sz w:val="24"/>
                <w:szCs w:val="24"/>
              </w:rPr>
            </w:pPr>
            <w:r>
              <w:rPr>
                <w:rFonts w:hint="eastAsia"/>
                <w:sz w:val="24"/>
                <w:szCs w:val="24"/>
              </w:rPr>
              <w:t>根据优化营商环境的相关要求，公示办事流程和各类收费信息，参与餐饮生产经营单位可燃气体报警装置的验收。</w:t>
            </w:r>
          </w:p>
        </w:tc>
        <w:tc>
          <w:tcPr>
            <w:tcW w:w="500" w:type="pct"/>
            <w:vMerge w:val="continue"/>
            <w:vAlign w:val="center"/>
          </w:tcPr>
          <w:p>
            <w:pPr>
              <w:rPr>
                <w:sz w:val="24"/>
                <w:szCs w:val="24"/>
              </w:rPr>
            </w:pPr>
          </w:p>
        </w:tc>
        <w:tc>
          <w:tcPr>
            <w:tcW w:w="1360"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94" w:type="pct"/>
            <w:vMerge w:val="continue"/>
            <w:vAlign w:val="center"/>
          </w:tcPr>
          <w:p>
            <w:pPr>
              <w:jc w:val="center"/>
              <w:rPr>
                <w:sz w:val="24"/>
                <w:szCs w:val="24"/>
              </w:rPr>
            </w:pPr>
          </w:p>
        </w:tc>
        <w:tc>
          <w:tcPr>
            <w:tcW w:w="1172" w:type="pct"/>
            <w:vMerge w:val="continue"/>
            <w:vAlign w:val="center"/>
          </w:tcPr>
          <w:p>
            <w:pPr>
              <w:rPr>
                <w:sz w:val="24"/>
                <w:szCs w:val="24"/>
              </w:rPr>
            </w:pPr>
          </w:p>
        </w:tc>
        <w:tc>
          <w:tcPr>
            <w:tcW w:w="1674" w:type="pct"/>
            <w:vAlign w:val="center"/>
          </w:tcPr>
          <w:p>
            <w:pPr>
              <w:rPr>
                <w:sz w:val="24"/>
                <w:szCs w:val="24"/>
              </w:rPr>
            </w:pPr>
            <w:r>
              <w:rPr>
                <w:rFonts w:hint="eastAsia" w:ascii="宋体" w:hAnsi="宋体" w:cs="宋体"/>
                <w:kern w:val="0"/>
                <w:sz w:val="24"/>
                <w:szCs w:val="24"/>
              </w:rPr>
              <w:t>餐饮生产经营单位新装可燃气体报警装置应在上海市住房和城乡建设委员会销售备案且列入有监控平台的燃气报警装置目录中选择产品。</w:t>
            </w:r>
            <w:r>
              <w:rPr>
                <w:rFonts w:hint="eastAsia"/>
                <w:sz w:val="24"/>
                <w:szCs w:val="24"/>
              </w:rPr>
              <w:t>产品应具有报警装置状态信息接入远程集中监控平台功能。燃气经营企业不得限定用户购买其指定的产品，不得限定用户接受其指定的服务。</w:t>
            </w:r>
          </w:p>
        </w:tc>
        <w:tc>
          <w:tcPr>
            <w:tcW w:w="500" w:type="pct"/>
            <w:vMerge w:val="continue"/>
            <w:vAlign w:val="center"/>
          </w:tcPr>
          <w:p>
            <w:pPr>
              <w:rPr>
                <w:sz w:val="24"/>
                <w:szCs w:val="24"/>
              </w:rPr>
            </w:pPr>
          </w:p>
        </w:tc>
        <w:tc>
          <w:tcPr>
            <w:tcW w:w="1360"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94" w:type="pct"/>
            <w:vMerge w:val="continue"/>
            <w:vAlign w:val="center"/>
          </w:tcPr>
          <w:p>
            <w:pPr>
              <w:jc w:val="center"/>
              <w:rPr>
                <w:sz w:val="24"/>
                <w:szCs w:val="24"/>
              </w:rPr>
            </w:pPr>
          </w:p>
        </w:tc>
        <w:tc>
          <w:tcPr>
            <w:tcW w:w="1172" w:type="pct"/>
            <w:vMerge w:val="continue"/>
            <w:vAlign w:val="center"/>
          </w:tcPr>
          <w:p>
            <w:pPr>
              <w:rPr>
                <w:sz w:val="24"/>
                <w:szCs w:val="24"/>
              </w:rPr>
            </w:pPr>
          </w:p>
        </w:tc>
        <w:tc>
          <w:tcPr>
            <w:tcW w:w="1674" w:type="pct"/>
            <w:vAlign w:val="center"/>
          </w:tcPr>
          <w:p>
            <w:pPr>
              <w:rPr>
                <w:sz w:val="24"/>
                <w:szCs w:val="24"/>
              </w:rPr>
            </w:pPr>
            <w:r>
              <w:rPr>
                <w:rFonts w:hint="eastAsia"/>
                <w:sz w:val="24"/>
                <w:szCs w:val="24"/>
              </w:rPr>
              <w:t>应建立可燃气体报警装置信息数据库，逐步推进可燃气体报警装置远程集中监控平台建设。</w:t>
            </w:r>
          </w:p>
        </w:tc>
        <w:tc>
          <w:tcPr>
            <w:tcW w:w="500" w:type="pct"/>
            <w:vMerge w:val="continue"/>
            <w:vAlign w:val="center"/>
          </w:tcPr>
          <w:p>
            <w:pPr>
              <w:rPr>
                <w:sz w:val="24"/>
                <w:szCs w:val="24"/>
              </w:rPr>
            </w:pPr>
          </w:p>
        </w:tc>
        <w:tc>
          <w:tcPr>
            <w:tcW w:w="1360"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94" w:type="pct"/>
            <w:noWrap/>
            <w:vAlign w:val="center"/>
          </w:tcPr>
          <w:p>
            <w:pPr>
              <w:jc w:val="center"/>
              <w:rPr>
                <w:sz w:val="24"/>
                <w:szCs w:val="24"/>
              </w:rPr>
            </w:pPr>
            <w:r>
              <w:rPr>
                <w:rFonts w:hint="eastAsia"/>
                <w:sz w:val="24"/>
                <w:szCs w:val="24"/>
              </w:rPr>
              <w:t>3</w:t>
            </w:r>
          </w:p>
        </w:tc>
        <w:tc>
          <w:tcPr>
            <w:tcW w:w="1172" w:type="pct"/>
            <w:vAlign w:val="center"/>
          </w:tcPr>
          <w:p>
            <w:pPr>
              <w:rPr>
                <w:sz w:val="24"/>
                <w:szCs w:val="24"/>
              </w:rPr>
            </w:pPr>
            <w:r>
              <w:rPr>
                <w:rFonts w:hint="eastAsia" w:ascii="宋体" w:hAnsi="宋体" w:cs="宋体"/>
                <w:b/>
                <w:bCs/>
                <w:kern w:val="0"/>
                <w:sz w:val="24"/>
                <w:szCs w:val="24"/>
              </w:rPr>
              <w:t>任务分解表第</w:t>
            </w:r>
            <w:r>
              <w:rPr>
                <w:rFonts w:ascii="宋体" w:hAnsi="宋体" w:cs="宋体"/>
                <w:b/>
                <w:bCs/>
                <w:kern w:val="0"/>
                <w:sz w:val="24"/>
                <w:szCs w:val="24"/>
              </w:rPr>
              <w:t>10</w:t>
            </w:r>
            <w:r>
              <w:rPr>
                <w:rFonts w:hint="eastAsia" w:ascii="宋体" w:hAnsi="宋体" w:cs="宋体"/>
                <w:b/>
                <w:bCs/>
                <w:kern w:val="0"/>
                <w:sz w:val="24"/>
                <w:szCs w:val="24"/>
              </w:rPr>
              <w:t>项：</w:t>
            </w:r>
            <w:r>
              <w:rPr>
                <w:rFonts w:hint="eastAsia"/>
                <w:sz w:val="24"/>
                <w:szCs w:val="24"/>
              </w:rPr>
              <w:t>燃气管理部门要配合市场监督管理部门对燃气器具、燃气泄漏报警装置及减压阀等产品质量开展市场抽查和打击假冒伪劣产品的执法行动。燃气管理部门要正面引导。</w:t>
            </w:r>
          </w:p>
        </w:tc>
        <w:tc>
          <w:tcPr>
            <w:tcW w:w="1674" w:type="pct"/>
            <w:vAlign w:val="center"/>
          </w:tcPr>
          <w:p>
            <w:pPr>
              <w:rPr>
                <w:sz w:val="24"/>
                <w:szCs w:val="24"/>
              </w:rPr>
            </w:pPr>
            <w:r>
              <w:rPr>
                <w:rFonts w:hint="eastAsia"/>
                <w:sz w:val="24"/>
                <w:szCs w:val="24"/>
              </w:rPr>
              <w:t>配合市场监管部门对现有燃气具、燃气泄漏报警器等产品生产企业进行检查，严禁生产不符合安全标准的燃气具、燃气泄漏报警器及配件和不符合强制性产品认证要求的燃气产品。通过本市燃气器具、燃气泄漏报警装置备案制度，加强对符合标准燃气器具及配件产品的正面引导。</w:t>
            </w:r>
          </w:p>
        </w:tc>
        <w:tc>
          <w:tcPr>
            <w:tcW w:w="500" w:type="pct"/>
            <w:vAlign w:val="center"/>
          </w:tcPr>
          <w:p>
            <w:pPr>
              <w:rPr>
                <w:sz w:val="24"/>
                <w:szCs w:val="24"/>
              </w:rPr>
            </w:pPr>
            <w:r>
              <w:rPr>
                <w:rFonts w:hint="eastAsia"/>
                <w:sz w:val="24"/>
                <w:szCs w:val="24"/>
              </w:rPr>
              <w:t>燃气管理部门配合市场监督管理部门</w:t>
            </w:r>
          </w:p>
        </w:tc>
        <w:tc>
          <w:tcPr>
            <w:tcW w:w="1360" w:type="pct"/>
            <w:vAlign w:val="center"/>
          </w:tcPr>
          <w:p>
            <w:pPr>
              <w:rPr>
                <w:sz w:val="24"/>
                <w:szCs w:val="24"/>
              </w:rPr>
            </w:pPr>
            <w:r>
              <w:rPr>
                <w:rFonts w:hint="eastAsia"/>
                <w:sz w:val="24"/>
                <w:szCs w:val="24"/>
              </w:rPr>
              <w:t>　</w:t>
            </w:r>
          </w:p>
        </w:tc>
      </w:tr>
    </w:tbl>
    <w:p>
      <w:pPr>
        <w:pStyle w:val="17"/>
        <w:spacing w:line="600" w:lineRule="exact"/>
        <w:ind w:firstLine="0" w:firstLineChars="0"/>
        <w:jc w:val="left"/>
        <w:rPr>
          <w:rFonts w:ascii="Times New Roman" w:hAnsi="Times New Roman" w:eastAsia="仿宋_GB2312"/>
          <w:sz w:val="32"/>
          <w:szCs w:val="32"/>
        </w:rPr>
        <w:sectPr>
          <w:pgSz w:w="16838" w:h="11906" w:orient="landscape"/>
          <w:pgMar w:top="1418" w:right="1559" w:bottom="1418" w:left="1588" w:header="851" w:footer="992" w:gutter="0"/>
          <w:pgNumType w:fmt="decimal"/>
          <w:cols w:space="720" w:num="1"/>
          <w:docGrid w:type="linesAndChars" w:linePitch="312" w:charSpace="0"/>
        </w:sectPr>
      </w:pPr>
      <w:r>
        <w:rPr>
          <w:rFonts w:hint="eastAsia" w:ascii="宋体" w:hAnsi="宋体"/>
          <w:sz w:val="24"/>
          <w:szCs w:val="24"/>
        </w:rPr>
        <w:t>本表由各区燃气管理部门、各燃气经营企业填报</w:t>
      </w:r>
    </w:p>
    <w:p>
      <w:pPr>
        <w:pStyle w:val="17"/>
        <w:spacing w:line="60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附件6</w:t>
      </w:r>
    </w:p>
    <w:p>
      <w:pPr>
        <w:pStyle w:val="17"/>
        <w:spacing w:line="600" w:lineRule="exact"/>
        <w:ind w:firstLine="0" w:firstLineChars="0"/>
        <w:jc w:val="center"/>
        <w:rPr>
          <w:rFonts w:ascii="黑体" w:hAnsi="黑体" w:eastAsia="黑体"/>
          <w:sz w:val="32"/>
          <w:szCs w:val="32"/>
        </w:rPr>
      </w:pPr>
      <w:r>
        <w:rPr>
          <w:rFonts w:hint="eastAsia" w:ascii="黑体" w:hAnsi="黑体" w:eastAsia="黑体"/>
          <w:sz w:val="32"/>
          <w:szCs w:val="32"/>
        </w:rPr>
        <w:t>老旧小区燃气安全风险隐患排查整治统计表</w:t>
      </w:r>
    </w:p>
    <w:p>
      <w:pPr>
        <w:pStyle w:val="17"/>
        <w:spacing w:line="600" w:lineRule="exact"/>
        <w:ind w:firstLine="0" w:firstLineChars="0"/>
        <w:jc w:val="left"/>
        <w:rPr>
          <w:rFonts w:ascii="宋体" w:hAnsi="宋体"/>
          <w:sz w:val="24"/>
          <w:szCs w:val="24"/>
        </w:rPr>
      </w:pPr>
      <w:r>
        <w:rPr>
          <w:rFonts w:hint="eastAsia" w:ascii="宋体" w:hAnsi="宋体"/>
          <w:sz w:val="24"/>
          <w:szCs w:val="24"/>
        </w:rPr>
        <w:t>参加排查部门：                              检查时间：     年    月    日</w:t>
      </w:r>
    </w:p>
    <w:tbl>
      <w:tblPr>
        <w:tblStyle w:val="7"/>
        <w:tblW w:w="9062" w:type="dxa"/>
        <w:tblInd w:w="118" w:type="dxa"/>
        <w:tblLayout w:type="autofit"/>
        <w:tblCellMar>
          <w:top w:w="0" w:type="dxa"/>
          <w:left w:w="108" w:type="dxa"/>
          <w:bottom w:w="0" w:type="dxa"/>
          <w:right w:w="108" w:type="dxa"/>
        </w:tblCellMar>
      </w:tblPr>
      <w:tblGrid>
        <w:gridCol w:w="1124"/>
        <w:gridCol w:w="796"/>
        <w:gridCol w:w="622"/>
        <w:gridCol w:w="1298"/>
        <w:gridCol w:w="960"/>
        <w:gridCol w:w="960"/>
        <w:gridCol w:w="184"/>
        <w:gridCol w:w="850"/>
        <w:gridCol w:w="1276"/>
        <w:gridCol w:w="992"/>
      </w:tblGrid>
      <w:tr>
        <w:tblPrEx>
          <w:tblCellMar>
            <w:top w:w="0" w:type="dxa"/>
            <w:left w:w="108" w:type="dxa"/>
            <w:bottom w:w="0" w:type="dxa"/>
            <w:right w:w="108" w:type="dxa"/>
          </w:tblCellMar>
        </w:tblPrEx>
        <w:trPr>
          <w:trHeight w:val="593" w:hRule="atLeast"/>
        </w:trPr>
        <w:tc>
          <w:tcPr>
            <w:tcW w:w="112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小区名称</w:t>
            </w:r>
          </w:p>
        </w:tc>
        <w:tc>
          <w:tcPr>
            <w:tcW w:w="3676" w:type="dxa"/>
            <w:gridSpan w:val="4"/>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144" w:type="dxa"/>
            <w:gridSpan w:val="2"/>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小区地址</w:t>
            </w:r>
          </w:p>
        </w:tc>
        <w:tc>
          <w:tcPr>
            <w:tcW w:w="3118"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545"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所在街道</w:t>
            </w:r>
          </w:p>
        </w:tc>
        <w:tc>
          <w:tcPr>
            <w:tcW w:w="3676" w:type="dxa"/>
            <w:gridSpan w:val="4"/>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144"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所在社区</w:t>
            </w:r>
          </w:p>
        </w:tc>
        <w:tc>
          <w:tcPr>
            <w:tcW w:w="3118"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583" w:hRule="atLeast"/>
        </w:trPr>
        <w:tc>
          <w:tcPr>
            <w:tcW w:w="3840"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物业名称（若没有物业填“无”）</w:t>
            </w:r>
          </w:p>
        </w:tc>
        <w:tc>
          <w:tcPr>
            <w:tcW w:w="5222" w:type="dxa"/>
            <w:gridSpan w:val="6"/>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505"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气源种类</w:t>
            </w:r>
          </w:p>
        </w:tc>
        <w:tc>
          <w:tcPr>
            <w:tcW w:w="3676" w:type="dxa"/>
            <w:gridSpan w:val="4"/>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□管道燃气□瓶装液化气</w:t>
            </w:r>
          </w:p>
        </w:tc>
        <w:tc>
          <w:tcPr>
            <w:tcW w:w="960" w:type="dxa"/>
            <w:vMerge w:val="restart"/>
            <w:tcBorders>
              <w:top w:val="nil"/>
              <w:left w:val="nil"/>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用户规模</w:t>
            </w:r>
          </w:p>
        </w:tc>
        <w:tc>
          <w:tcPr>
            <w:tcW w:w="3302" w:type="dxa"/>
            <w:gridSpan w:val="4"/>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xml:space="preserve">管道燃气（ </w:t>
            </w:r>
            <w:r>
              <w:rPr>
                <w:rFonts w:ascii="宋体" w:hAnsi="宋体" w:cs="宋体"/>
                <w:kern w:val="0"/>
                <w:sz w:val="22"/>
              </w:rPr>
              <w:t xml:space="preserve">          </w:t>
            </w:r>
            <w:r>
              <w:rPr>
                <w:rFonts w:hint="eastAsia" w:ascii="宋体" w:hAnsi="宋体" w:cs="宋体"/>
                <w:kern w:val="0"/>
                <w:sz w:val="22"/>
              </w:rPr>
              <w:t>）户</w:t>
            </w:r>
          </w:p>
        </w:tc>
      </w:tr>
      <w:tr>
        <w:tblPrEx>
          <w:tblCellMar>
            <w:top w:w="0" w:type="dxa"/>
            <w:left w:w="108" w:type="dxa"/>
            <w:bottom w:w="0" w:type="dxa"/>
            <w:right w:w="108" w:type="dxa"/>
          </w:tblCellMar>
        </w:tblPrEx>
        <w:trPr>
          <w:trHeight w:val="555" w:hRule="atLeast"/>
        </w:trPr>
        <w:tc>
          <w:tcPr>
            <w:tcW w:w="192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管道竣工日期</w:t>
            </w:r>
          </w:p>
        </w:tc>
        <w:tc>
          <w:tcPr>
            <w:tcW w:w="2880" w:type="dxa"/>
            <w:gridSpan w:val="3"/>
            <w:tcBorders>
              <w:top w:val="single" w:color="auto" w:sz="8" w:space="0"/>
              <w:left w:val="nil"/>
              <w:bottom w:val="single" w:color="auto" w:sz="8" w:space="0"/>
              <w:right w:val="single" w:color="000000" w:sz="8" w:space="0"/>
            </w:tcBorders>
            <w:shd w:val="clear" w:color="auto" w:fill="auto"/>
            <w:vAlign w:val="center"/>
          </w:tcPr>
          <w:p>
            <w:pPr>
              <w:widowControl/>
              <w:ind w:firstLine="660" w:firstLineChars="300"/>
              <w:rPr>
                <w:rFonts w:ascii="宋体" w:hAnsi="宋体" w:cs="宋体"/>
                <w:kern w:val="0"/>
                <w:sz w:val="22"/>
              </w:rPr>
            </w:pPr>
            <w:r>
              <w:rPr>
                <w:rFonts w:hint="eastAsia" w:ascii="宋体" w:hAnsi="宋体" w:cs="宋体"/>
                <w:kern w:val="0"/>
                <w:sz w:val="22"/>
              </w:rPr>
              <w:t>年  月  日</w:t>
            </w:r>
          </w:p>
        </w:tc>
        <w:tc>
          <w:tcPr>
            <w:tcW w:w="960" w:type="dxa"/>
            <w:vMerge w:val="continue"/>
            <w:tcBorders>
              <w:left w:val="nil"/>
              <w:bottom w:val="single" w:color="auto" w:sz="8" w:space="0"/>
              <w:right w:val="single" w:color="auto" w:sz="8" w:space="0"/>
            </w:tcBorders>
            <w:shd w:val="clear" w:color="auto" w:fill="auto"/>
            <w:vAlign w:val="center"/>
          </w:tcPr>
          <w:p>
            <w:pPr>
              <w:widowControl/>
              <w:rPr>
                <w:rFonts w:ascii="宋体" w:hAnsi="宋体" w:cs="宋体"/>
                <w:kern w:val="0"/>
                <w:sz w:val="22"/>
              </w:rPr>
            </w:pPr>
          </w:p>
        </w:tc>
        <w:tc>
          <w:tcPr>
            <w:tcW w:w="3302" w:type="dxa"/>
            <w:gridSpan w:val="4"/>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xml:space="preserve">瓶装液化气（ </w:t>
            </w:r>
            <w:r>
              <w:rPr>
                <w:rFonts w:ascii="宋体" w:hAnsi="宋体" w:cs="宋体"/>
                <w:kern w:val="0"/>
                <w:sz w:val="22"/>
              </w:rPr>
              <w:t xml:space="preserve">        </w:t>
            </w:r>
            <w:r>
              <w:rPr>
                <w:rFonts w:hint="eastAsia" w:ascii="宋体" w:hAnsi="宋体" w:cs="宋体"/>
                <w:kern w:val="0"/>
                <w:sz w:val="22"/>
              </w:rPr>
              <w:t>）户</w:t>
            </w:r>
          </w:p>
        </w:tc>
      </w:tr>
      <w:tr>
        <w:tblPrEx>
          <w:tblCellMar>
            <w:top w:w="0" w:type="dxa"/>
            <w:left w:w="108" w:type="dxa"/>
            <w:bottom w:w="0" w:type="dxa"/>
            <w:right w:w="108" w:type="dxa"/>
          </w:tblCellMar>
        </w:tblPrEx>
        <w:trPr>
          <w:trHeight w:val="300"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检查部位</w:t>
            </w:r>
          </w:p>
        </w:tc>
        <w:tc>
          <w:tcPr>
            <w:tcW w:w="3676" w:type="dxa"/>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问题隐患情况</w:t>
            </w:r>
          </w:p>
        </w:tc>
        <w:tc>
          <w:tcPr>
            <w:tcW w:w="9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整改措施</w:t>
            </w:r>
          </w:p>
        </w:tc>
        <w:tc>
          <w:tcPr>
            <w:tcW w:w="1034" w:type="dxa"/>
            <w:gridSpan w:val="2"/>
            <w:tcBorders>
              <w:top w:val="nil"/>
              <w:left w:val="nil"/>
              <w:bottom w:val="nil"/>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完成</w:t>
            </w:r>
          </w:p>
        </w:tc>
        <w:tc>
          <w:tcPr>
            <w:tcW w:w="1276" w:type="dxa"/>
            <w:tcBorders>
              <w:top w:val="nil"/>
              <w:left w:val="nil"/>
              <w:bottom w:val="nil"/>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整改落实</w:t>
            </w:r>
          </w:p>
        </w:tc>
        <w:tc>
          <w:tcPr>
            <w:tcW w:w="99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备注</w:t>
            </w:r>
          </w:p>
        </w:tc>
      </w:tr>
      <w:tr>
        <w:tblPrEx>
          <w:tblCellMar>
            <w:top w:w="0" w:type="dxa"/>
            <w:left w:w="108" w:type="dxa"/>
            <w:bottom w:w="0" w:type="dxa"/>
            <w:right w:w="108" w:type="dxa"/>
          </w:tblCellMar>
        </w:tblPrEx>
        <w:trPr>
          <w:trHeight w:val="300" w:hRule="atLeast"/>
        </w:trPr>
        <w:tc>
          <w:tcPr>
            <w:tcW w:w="11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22"/>
              </w:rPr>
            </w:pPr>
          </w:p>
        </w:tc>
        <w:tc>
          <w:tcPr>
            <w:tcW w:w="2716"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隐患（部位）名称</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9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22"/>
              </w:rPr>
            </w:pPr>
          </w:p>
        </w:tc>
        <w:tc>
          <w:tcPr>
            <w:tcW w:w="1034" w:type="dxa"/>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时限</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2"/>
              </w:rPr>
            </w:pPr>
            <w:r>
              <w:rPr>
                <w:rFonts w:hint="eastAsia" w:ascii="宋体" w:hAnsi="宋体" w:cs="宋体"/>
                <w:b/>
                <w:bCs/>
                <w:kern w:val="0"/>
                <w:sz w:val="22"/>
              </w:rPr>
              <w:t>情况</w:t>
            </w:r>
          </w:p>
        </w:tc>
        <w:tc>
          <w:tcPr>
            <w:tcW w:w="99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kern w:val="0"/>
                <w:sz w:val="22"/>
              </w:rPr>
            </w:pPr>
          </w:p>
        </w:tc>
      </w:tr>
      <w:tr>
        <w:tblPrEx>
          <w:tblCellMar>
            <w:top w:w="0" w:type="dxa"/>
            <w:left w:w="108" w:type="dxa"/>
            <w:bottom w:w="0" w:type="dxa"/>
            <w:right w:w="108" w:type="dxa"/>
          </w:tblCellMar>
        </w:tblPrEx>
        <w:trPr>
          <w:trHeight w:val="397"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小区庭院</w:t>
            </w:r>
          </w:p>
        </w:tc>
        <w:tc>
          <w:tcPr>
            <w:tcW w:w="2716"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庭院管（处）</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034"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276"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11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2"/>
              </w:rPr>
            </w:pPr>
          </w:p>
        </w:tc>
        <w:tc>
          <w:tcPr>
            <w:tcW w:w="2716"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调压站（处）</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034"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276"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11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2"/>
              </w:rPr>
            </w:pPr>
          </w:p>
        </w:tc>
        <w:tc>
          <w:tcPr>
            <w:tcW w:w="2716"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燃气引入管（处）</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034"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276"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11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2"/>
              </w:rPr>
            </w:pPr>
          </w:p>
        </w:tc>
        <w:tc>
          <w:tcPr>
            <w:tcW w:w="2716"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立管（处）</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034"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276"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11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2"/>
              </w:rPr>
            </w:pPr>
          </w:p>
        </w:tc>
        <w:tc>
          <w:tcPr>
            <w:tcW w:w="2716"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违规设置非法储存充装点（处）</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034"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276"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1124"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用户户内</w:t>
            </w:r>
          </w:p>
        </w:tc>
        <w:tc>
          <w:tcPr>
            <w:tcW w:w="2716"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管道穿越楼板存在隐患（处）</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034"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276"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11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2"/>
              </w:rPr>
            </w:pPr>
          </w:p>
        </w:tc>
        <w:tc>
          <w:tcPr>
            <w:tcW w:w="2716"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擅自安装、改装、拆除户内燃气设施和燃气计量装置（户）</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034"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276"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11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2"/>
              </w:rPr>
            </w:pPr>
          </w:p>
        </w:tc>
        <w:tc>
          <w:tcPr>
            <w:tcW w:w="2716"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室内管道严重锈蚀（户）</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034"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276"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11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2"/>
              </w:rPr>
            </w:pPr>
          </w:p>
        </w:tc>
        <w:tc>
          <w:tcPr>
            <w:tcW w:w="2716"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使用不合格气瓶、灶具、连接软管和减压阀（户）</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034"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276"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11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2"/>
              </w:rPr>
            </w:pPr>
          </w:p>
        </w:tc>
        <w:tc>
          <w:tcPr>
            <w:tcW w:w="1418"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在不具备通风条件场所使用燃气</w:t>
            </w:r>
          </w:p>
        </w:tc>
        <w:tc>
          <w:tcPr>
            <w:tcW w:w="1298"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车库</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034"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276"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11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2"/>
              </w:rPr>
            </w:pPr>
          </w:p>
        </w:tc>
        <w:tc>
          <w:tcPr>
            <w:tcW w:w="1418"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kern w:val="0"/>
                <w:sz w:val="22"/>
              </w:rPr>
            </w:pPr>
          </w:p>
        </w:tc>
        <w:tc>
          <w:tcPr>
            <w:tcW w:w="1298"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地下半地下室</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034"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276"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11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2"/>
              </w:rPr>
            </w:pPr>
          </w:p>
        </w:tc>
        <w:tc>
          <w:tcPr>
            <w:tcW w:w="1418"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kern w:val="0"/>
                <w:sz w:val="22"/>
              </w:rPr>
            </w:pPr>
          </w:p>
        </w:tc>
        <w:tc>
          <w:tcPr>
            <w:tcW w:w="1298"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群租房</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034"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276"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97" w:hRule="atLeast"/>
        </w:trPr>
        <w:tc>
          <w:tcPr>
            <w:tcW w:w="112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kern w:val="0"/>
                <w:sz w:val="22"/>
              </w:rPr>
            </w:pPr>
          </w:p>
        </w:tc>
        <w:tc>
          <w:tcPr>
            <w:tcW w:w="2716" w:type="dxa"/>
            <w:gridSpan w:val="3"/>
            <w:tcBorders>
              <w:top w:val="single" w:color="auto" w:sz="8" w:space="0"/>
              <w:left w:val="nil"/>
              <w:bottom w:val="single" w:color="auto" w:sz="8" w:space="0"/>
              <w:right w:val="single" w:color="000000"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其他：</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60"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034" w:type="dxa"/>
            <w:gridSpan w:val="2"/>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1276"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c>
          <w:tcPr>
            <w:tcW w:w="992"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51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合计</w:t>
            </w:r>
          </w:p>
        </w:tc>
        <w:tc>
          <w:tcPr>
            <w:tcW w:w="2716"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问题隐患总数（个）</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9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231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整改完成隐患数（个）</w:t>
            </w:r>
          </w:p>
        </w:tc>
        <w:tc>
          <w:tcPr>
            <w:tcW w:w="992"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r>
    </w:tbl>
    <w:p>
      <w:pPr>
        <w:pStyle w:val="17"/>
        <w:spacing w:line="600" w:lineRule="exact"/>
        <w:ind w:firstLine="0" w:firstLineChars="0"/>
        <w:jc w:val="left"/>
        <w:rPr>
          <w:rFonts w:ascii="宋体" w:hAnsi="宋体"/>
          <w:sz w:val="24"/>
          <w:szCs w:val="24"/>
        </w:rPr>
      </w:pPr>
      <w:r>
        <w:rPr>
          <w:rFonts w:hint="eastAsia" w:ascii="宋体" w:hAnsi="宋体"/>
          <w:sz w:val="24"/>
          <w:szCs w:val="24"/>
        </w:rPr>
        <w:t>本表由各区燃气管理部门、各燃气经营企业、各街镇填写</w:t>
      </w:r>
    </w:p>
    <w:p>
      <w:pPr>
        <w:pStyle w:val="17"/>
        <w:spacing w:line="600" w:lineRule="exact"/>
        <w:ind w:firstLine="0" w:firstLineChars="0"/>
        <w:jc w:val="left"/>
        <w:rPr>
          <w:rFonts w:ascii="仿宋_GB2312" w:hAnsi="宋体" w:eastAsia="仿宋_GB2312"/>
          <w:sz w:val="32"/>
          <w:szCs w:val="32"/>
        </w:rPr>
        <w:sectPr>
          <w:pgSz w:w="11906" w:h="16838"/>
          <w:pgMar w:top="1559" w:right="1418" w:bottom="1588" w:left="1418" w:header="851" w:footer="992" w:gutter="0"/>
          <w:pgNumType w:fmt="decimal"/>
          <w:cols w:space="720" w:num="1"/>
          <w:docGrid w:type="lines" w:linePitch="312" w:charSpace="0"/>
        </w:sectPr>
      </w:pPr>
    </w:p>
    <w:p>
      <w:pPr>
        <w:pStyle w:val="17"/>
        <w:spacing w:line="600" w:lineRule="exact"/>
        <w:ind w:firstLine="0" w:firstLineChars="0"/>
        <w:jc w:val="left"/>
        <w:rPr>
          <w:rFonts w:ascii="仿宋_GB2312" w:hAnsi="宋体" w:eastAsia="仿宋_GB2312"/>
          <w:sz w:val="32"/>
          <w:szCs w:val="32"/>
        </w:rPr>
      </w:pPr>
      <w:r>
        <w:rPr>
          <w:rFonts w:hint="eastAsia" w:ascii="仿宋_GB2312" w:hAnsi="宋体" w:eastAsia="仿宋_GB2312"/>
          <w:sz w:val="32"/>
          <w:szCs w:val="32"/>
        </w:rPr>
        <w:t>附件7</w:t>
      </w:r>
    </w:p>
    <w:p>
      <w:pPr>
        <w:pStyle w:val="17"/>
        <w:spacing w:line="600" w:lineRule="exact"/>
        <w:ind w:firstLine="0" w:firstLineChars="0"/>
        <w:jc w:val="center"/>
        <w:rPr>
          <w:rFonts w:ascii="黑体" w:hAnsi="黑体" w:eastAsia="黑体"/>
          <w:sz w:val="32"/>
          <w:szCs w:val="32"/>
        </w:rPr>
      </w:pPr>
      <w:r>
        <w:rPr>
          <w:rFonts w:hint="eastAsia" w:ascii="黑体" w:hAnsi="黑体" w:eastAsia="黑体"/>
          <w:sz w:val="32"/>
          <w:szCs w:val="32"/>
        </w:rPr>
        <w:t>燃气建设工程隐患排查统计表</w:t>
      </w:r>
    </w:p>
    <w:p>
      <w:pPr>
        <w:pStyle w:val="17"/>
        <w:spacing w:line="600" w:lineRule="exact"/>
        <w:ind w:firstLine="0" w:firstLineChars="0"/>
        <w:jc w:val="left"/>
        <w:rPr>
          <w:rFonts w:ascii="宋体" w:hAnsi="宋体"/>
          <w:sz w:val="24"/>
          <w:szCs w:val="24"/>
        </w:rPr>
      </w:pPr>
      <w:r>
        <w:rPr>
          <w:rFonts w:hint="eastAsia" w:ascii="宋体" w:hAnsi="宋体"/>
          <w:sz w:val="24"/>
          <w:szCs w:val="24"/>
        </w:rPr>
        <w:t>排查单位：排查时间：</w:t>
      </w:r>
    </w:p>
    <w:tbl>
      <w:tblPr>
        <w:tblStyle w:val="7"/>
        <w:tblW w:w="13745" w:type="dxa"/>
        <w:tblInd w:w="113" w:type="dxa"/>
        <w:tblLayout w:type="autofit"/>
        <w:tblCellMar>
          <w:top w:w="0" w:type="dxa"/>
          <w:left w:w="108" w:type="dxa"/>
          <w:bottom w:w="0" w:type="dxa"/>
          <w:right w:w="108" w:type="dxa"/>
        </w:tblCellMar>
      </w:tblPr>
      <w:tblGrid>
        <w:gridCol w:w="980"/>
        <w:gridCol w:w="2843"/>
        <w:gridCol w:w="3543"/>
        <w:gridCol w:w="1276"/>
        <w:gridCol w:w="2552"/>
        <w:gridCol w:w="2551"/>
      </w:tblGrid>
      <w:tr>
        <w:tblPrEx>
          <w:tblCellMar>
            <w:top w:w="0" w:type="dxa"/>
            <w:left w:w="108" w:type="dxa"/>
            <w:bottom w:w="0" w:type="dxa"/>
            <w:right w:w="108" w:type="dxa"/>
          </w:tblCellMar>
        </w:tblPrEx>
        <w:trPr>
          <w:trHeight w:val="576" w:hRule="atLeast"/>
          <w:tblHead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2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工作任务</w:t>
            </w:r>
          </w:p>
        </w:tc>
        <w:tc>
          <w:tcPr>
            <w:tcW w:w="35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排查内容</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有无隐患</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排查结果综述</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整改情况综述</w:t>
            </w:r>
          </w:p>
        </w:tc>
      </w:tr>
      <w:tr>
        <w:tblPrEx>
          <w:tblCellMar>
            <w:top w:w="0" w:type="dxa"/>
            <w:left w:w="108" w:type="dxa"/>
            <w:bottom w:w="0" w:type="dxa"/>
            <w:right w:w="108" w:type="dxa"/>
          </w:tblCellMar>
        </w:tblPrEx>
        <w:trPr>
          <w:trHeight w:val="28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7</w:t>
            </w:r>
            <w:r>
              <w:rPr>
                <w:rFonts w:hint="eastAsia" w:ascii="宋体" w:hAnsi="宋体" w:cs="宋体"/>
                <w:b/>
                <w:bCs/>
                <w:kern w:val="0"/>
                <w:sz w:val="24"/>
                <w:szCs w:val="24"/>
              </w:rPr>
              <w:t>项：</w:t>
            </w:r>
            <w:r>
              <w:rPr>
                <w:rFonts w:hint="eastAsia" w:ascii="宋体" w:hAnsi="宋体" w:cs="宋体"/>
                <w:kern w:val="0"/>
                <w:sz w:val="24"/>
                <w:szCs w:val="24"/>
              </w:rPr>
              <w:t>各区建设管理部门、燃气管理部门和燃气经营企业要对在建燃气工程管理环节程序的落实情况进行排查；对燃气管道周边建设项目开展排查，落实燃气管道保护工作要求，打击危害燃气管道安全的行为。</w:t>
            </w:r>
          </w:p>
        </w:tc>
        <w:tc>
          <w:tcPr>
            <w:tcW w:w="3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重点排查整治未按规定将燃气管道工程纳入工程质量安全监管、未依法进行特种设备施工前告知和安装监督检验等问题。对在建市政燃气管道工程项目,要严格对主要管材规范检验，按方案施工，验收合格后方可通气。对燃气管线周边在建项目，严格落实燃气设施保护方案。</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8</w:t>
            </w:r>
            <w:r>
              <w:rPr>
                <w:rFonts w:hint="eastAsia" w:ascii="宋体" w:hAnsi="宋体" w:cs="宋体"/>
                <w:b/>
                <w:bCs/>
                <w:kern w:val="0"/>
                <w:sz w:val="24"/>
                <w:szCs w:val="24"/>
              </w:rPr>
              <w:t>项：</w:t>
            </w:r>
            <w:r>
              <w:rPr>
                <w:rFonts w:hint="eastAsia" w:ascii="宋体" w:hAnsi="宋体" w:cs="宋体"/>
                <w:kern w:val="0"/>
                <w:sz w:val="24"/>
                <w:szCs w:val="24"/>
              </w:rPr>
              <w:t>各区建设管理部门、燃气管理部门要严厉打击燃气新建、改造等工程中质量安全不落实、违规发包等违法违规行为。重点落实工程作业人员实名制管理，打击人员挂靠、无证上岗行为。</w:t>
            </w:r>
          </w:p>
        </w:tc>
        <w:tc>
          <w:tcPr>
            <w:tcW w:w="3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各燃气建设单位要落实施工人员实名制管理要求，建立信息平台对项目作业人员、实施单位、履约情况进行汇总，利用大数据分析比对和现场检查信息反馈，主动打击工程转包、违法分包、挂靠等行为。</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80" w:hRule="atLeast"/>
        </w:trPr>
        <w:tc>
          <w:tcPr>
            <w:tcW w:w="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9</w:t>
            </w:r>
            <w:r>
              <w:rPr>
                <w:rFonts w:hint="eastAsia" w:ascii="宋体" w:hAnsi="宋体" w:cs="宋体"/>
                <w:b/>
                <w:bCs/>
                <w:kern w:val="0"/>
                <w:sz w:val="24"/>
                <w:szCs w:val="24"/>
              </w:rPr>
              <w:t>项：</w:t>
            </w:r>
            <w:r>
              <w:rPr>
                <w:rFonts w:hint="eastAsia" w:ascii="宋体" w:hAnsi="宋体" w:cs="宋体"/>
                <w:kern w:val="0"/>
                <w:sz w:val="24"/>
                <w:szCs w:val="24"/>
              </w:rPr>
              <w:t>各区建设管理部门、燃气管理部门要根据本市燃气工程建设管理规定，督促企业落实相关政策要求，确保各类燃气工程依法纳入监管体系（附件7）。同时要梳理、完善燃气工程管理标准及流程。</w:t>
            </w:r>
          </w:p>
        </w:tc>
        <w:tc>
          <w:tcPr>
            <w:tcW w:w="35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要全面落实现有燃气工程建设管理措施，根据现有工程分工，进一步明确部门、职责分工，完善建设管理程序及制度，确保各类燃气工程纳入监管体系，并不断整治未按规定将燃气工程纳入工程质量安全监管情况；督促各燃气建设单位落实工程管理主体责任，强化管理落实参建各方在执行燃气工程项目规范、技术标准，材料验收、按图施工、工程管控体系，作业监护、投运试验等规定，切实加大工程监管力度。</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bl>
    <w:p>
      <w:pPr>
        <w:pStyle w:val="17"/>
        <w:spacing w:line="600" w:lineRule="exact"/>
        <w:ind w:firstLine="0" w:firstLineChars="0"/>
        <w:jc w:val="left"/>
        <w:rPr>
          <w:rFonts w:ascii="宋体" w:hAnsi="宋体"/>
          <w:sz w:val="24"/>
          <w:szCs w:val="24"/>
        </w:rPr>
      </w:pPr>
      <w:r>
        <w:rPr>
          <w:rFonts w:hint="eastAsia" w:ascii="宋体" w:hAnsi="宋体"/>
          <w:sz w:val="24"/>
          <w:szCs w:val="24"/>
        </w:rPr>
        <w:t>本表由各区燃气管理部门、各燃气经营企业、各燃气建设企业填报</w:t>
      </w:r>
    </w:p>
    <w:p>
      <w:pPr>
        <w:pStyle w:val="17"/>
        <w:spacing w:line="600" w:lineRule="exact"/>
        <w:ind w:firstLine="0" w:firstLineChars="0"/>
        <w:jc w:val="left"/>
        <w:rPr>
          <w:rFonts w:ascii="仿宋_GB2312" w:hAnsi="宋体" w:eastAsia="仿宋_GB2312"/>
          <w:sz w:val="32"/>
          <w:szCs w:val="32"/>
        </w:rPr>
      </w:pPr>
      <w:r>
        <w:rPr>
          <w:rFonts w:ascii="仿宋_GB2312" w:hAnsi="宋体" w:eastAsia="仿宋_GB2312"/>
          <w:sz w:val="32"/>
          <w:szCs w:val="32"/>
        </w:rPr>
        <w:br w:type="page"/>
      </w:r>
      <w:r>
        <w:rPr>
          <w:rFonts w:hint="eastAsia" w:ascii="仿宋_GB2312" w:hAnsi="宋体" w:eastAsia="仿宋_GB2312"/>
          <w:sz w:val="32"/>
          <w:szCs w:val="32"/>
        </w:rPr>
        <w:t>附件8</w:t>
      </w:r>
    </w:p>
    <w:p>
      <w:pPr>
        <w:pStyle w:val="17"/>
        <w:spacing w:line="600" w:lineRule="exact"/>
        <w:ind w:firstLine="0" w:firstLineChars="0"/>
        <w:jc w:val="center"/>
        <w:rPr>
          <w:rFonts w:ascii="黑体" w:hAnsi="黑体" w:eastAsia="黑体"/>
          <w:sz w:val="32"/>
          <w:szCs w:val="32"/>
        </w:rPr>
      </w:pPr>
      <w:r>
        <w:rPr>
          <w:rFonts w:hint="eastAsia" w:ascii="黑体" w:hAnsi="黑体" w:eastAsia="黑体"/>
          <w:sz w:val="32"/>
          <w:szCs w:val="32"/>
        </w:rPr>
        <w:t>瓶装液化气专项工作统计表</w:t>
      </w:r>
    </w:p>
    <w:p>
      <w:pPr>
        <w:pStyle w:val="17"/>
        <w:spacing w:line="600" w:lineRule="exact"/>
        <w:ind w:firstLine="0" w:firstLineChars="0"/>
        <w:jc w:val="left"/>
        <w:rPr>
          <w:rFonts w:ascii="宋体" w:hAnsi="宋体"/>
          <w:sz w:val="24"/>
          <w:szCs w:val="24"/>
        </w:rPr>
      </w:pPr>
      <w:r>
        <w:rPr>
          <w:rFonts w:hint="eastAsia" w:ascii="宋体" w:hAnsi="宋体"/>
          <w:sz w:val="24"/>
          <w:szCs w:val="24"/>
        </w:rPr>
        <w:t>单位：</w:t>
      </w:r>
    </w:p>
    <w:tbl>
      <w:tblPr>
        <w:tblStyle w:val="7"/>
        <w:tblW w:w="13745" w:type="dxa"/>
        <w:tblInd w:w="113" w:type="dxa"/>
        <w:tblLayout w:type="autofit"/>
        <w:tblCellMar>
          <w:top w:w="0" w:type="dxa"/>
          <w:left w:w="108" w:type="dxa"/>
          <w:bottom w:w="0" w:type="dxa"/>
          <w:right w:w="108" w:type="dxa"/>
        </w:tblCellMar>
      </w:tblPr>
      <w:tblGrid>
        <w:gridCol w:w="846"/>
        <w:gridCol w:w="2551"/>
        <w:gridCol w:w="4536"/>
        <w:gridCol w:w="1418"/>
        <w:gridCol w:w="4394"/>
      </w:tblGrid>
      <w:tr>
        <w:tblPrEx>
          <w:tblCellMar>
            <w:top w:w="0" w:type="dxa"/>
            <w:left w:w="108" w:type="dxa"/>
            <w:bottom w:w="0" w:type="dxa"/>
            <w:right w:w="108" w:type="dxa"/>
          </w:tblCellMar>
        </w:tblPrEx>
        <w:trPr>
          <w:trHeight w:val="288" w:hRule="atLeast"/>
          <w:tblHead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工作任务</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工作内容</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责任单位</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工作结果综述</w:t>
            </w:r>
          </w:p>
        </w:tc>
      </w:tr>
      <w:tr>
        <w:tblPrEx>
          <w:tblCellMar>
            <w:top w:w="0" w:type="dxa"/>
            <w:left w:w="108" w:type="dxa"/>
            <w:bottom w:w="0" w:type="dxa"/>
            <w:right w:w="108" w:type="dxa"/>
          </w:tblCellMar>
        </w:tblPrEx>
        <w:trPr>
          <w:trHeight w:val="1984"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14</w:t>
            </w:r>
            <w:r>
              <w:rPr>
                <w:rFonts w:hint="eastAsia" w:ascii="宋体" w:hAnsi="宋体" w:cs="宋体"/>
                <w:b/>
                <w:bCs/>
                <w:kern w:val="0"/>
                <w:sz w:val="24"/>
                <w:szCs w:val="24"/>
              </w:rPr>
              <w:t>项：</w:t>
            </w:r>
            <w:r>
              <w:rPr>
                <w:rFonts w:hint="eastAsia" w:ascii="宋体" w:hAnsi="宋体" w:cs="宋体"/>
                <w:kern w:val="0"/>
                <w:sz w:val="24"/>
                <w:szCs w:val="24"/>
              </w:rPr>
              <w:t>燃气经营企业要持续深化瓶装液化气统一配送，严格执行气瓶经营、运输管理规定，确保气瓶信息全过程可追溯</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完善气瓶信息全过程追溯体系建设，配合市场监管部门督促瓶装液化气经营企业加强充装管理、落实主体责任。</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各燃气经营企业</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016"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15</w:t>
            </w:r>
            <w:r>
              <w:rPr>
                <w:rFonts w:hint="eastAsia" w:ascii="宋体" w:hAnsi="宋体" w:cs="宋体"/>
                <w:b/>
                <w:bCs/>
                <w:kern w:val="0"/>
                <w:sz w:val="24"/>
                <w:szCs w:val="24"/>
              </w:rPr>
              <w:t>项：</w:t>
            </w:r>
            <w:r>
              <w:rPr>
                <w:rFonts w:hint="eastAsia" w:ascii="宋体" w:hAnsi="宋体" w:cs="宋体"/>
                <w:kern w:val="0"/>
                <w:sz w:val="24"/>
                <w:szCs w:val="24"/>
              </w:rPr>
              <w:t>燃气经营企业要严格执行实名销售、签订供气合同，提供符合标准的调压器、连接管等产品，建立健全用户安检长效管理机制</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要统一用户订气渠道，结算环节需提供统一销售凭证，通过网络渠道收取费用的，应当使用企业专用账户收款码；要做好每年一次的入户安检并建立台账登记，积极指导用户配合整改，对餐饮经营单位、特别是新开户用户要认真审核用气场所安全条件，存在严重隐患且拒不整改的，坚决落实停供机制。</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各液化气经营企业</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810"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5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16</w:t>
            </w:r>
            <w:r>
              <w:rPr>
                <w:rFonts w:hint="eastAsia" w:ascii="宋体" w:hAnsi="宋体" w:cs="宋体"/>
                <w:b/>
                <w:bCs/>
                <w:kern w:val="0"/>
                <w:sz w:val="24"/>
                <w:szCs w:val="24"/>
              </w:rPr>
              <w:t>项：</w:t>
            </w:r>
            <w:r>
              <w:rPr>
                <w:rFonts w:hint="eastAsia" w:ascii="宋体" w:hAnsi="宋体" w:cs="宋体"/>
                <w:kern w:val="0"/>
                <w:sz w:val="24"/>
                <w:szCs w:val="24"/>
              </w:rPr>
              <w:t>燃气管理部门要强化多部门协作，通过信息化手段，严厉打击非法贩售、运输、倒灌和用户使用非法液化气等违法行为，切实提高发现率和查处率。</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加强对配送订单信息数据的倒查分析，针对“同一地址大量订气”等异常现象落实专人开展复查，发现违法违规线索的要及时上报属地及相关管理部门。</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燃气管理部门</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016"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2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通过属地巡查、市民热线、信访举报以及其他相关渠道主动收集非法瓶装液化气线索，指导街镇积极开展气瓶电子标签信息协查，建立健全与公安、交通、应急消防、市场监管等部门的联动执法工作机制，深挖气源、运输、储存、销售等各环节违法违规行为，开展一次区域联动专项执法、形成典型案例。</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各区燃气管理部门、各行业领域主管部门</w:t>
            </w:r>
          </w:p>
        </w:tc>
        <w:tc>
          <w:tcPr>
            <w:tcW w:w="43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3456"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17</w:t>
            </w:r>
            <w:r>
              <w:rPr>
                <w:rFonts w:hint="eastAsia" w:ascii="宋体" w:hAnsi="宋体" w:cs="宋体"/>
                <w:b/>
                <w:bCs/>
                <w:kern w:val="0"/>
                <w:sz w:val="24"/>
                <w:szCs w:val="24"/>
              </w:rPr>
              <w:t>项：</w:t>
            </w:r>
            <w:r>
              <w:rPr>
                <w:rFonts w:hint="eastAsia" w:ascii="宋体" w:hAnsi="宋体" w:cs="宋体"/>
                <w:kern w:val="0"/>
                <w:sz w:val="24"/>
                <w:szCs w:val="24"/>
              </w:rPr>
              <w:t>各区落实基层属地监管责任，广泛开展逐户清查整治和社区安全宣传（附件8）。</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压实街道、社区等基层组织责任，将燃气安全与服务纳入社区治理和网格化管理的主要内容，健全和完善燃气安全监管工作的基层组织网络，建立燃气事故救援和处置的信息支撑系统和处置保障体系，提升城市燃气安全管理水平和抗风险能力。要全面加大宣传力度，使燃气用户树立安全用气的意识，引导广大群众自觉保护燃气设施，自觉抵制不合格的连接软管、燃气灶具、减压阀等，掌握燃气器具的正确操作使用方法，掌握防火、防爆等有关自救常识，积极主动配合燃气企业入户进行燃气设施安全检查，鼓励举报燃气供应和使用中的违法、违规行为（事件），确保燃气安全。</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各区街道、社区等基层组织</w:t>
            </w:r>
          </w:p>
        </w:tc>
        <w:tc>
          <w:tcPr>
            <w:tcW w:w="4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bl>
    <w:p>
      <w:pPr>
        <w:pStyle w:val="17"/>
        <w:spacing w:line="600" w:lineRule="exact"/>
        <w:ind w:firstLine="0" w:firstLineChars="0"/>
        <w:jc w:val="left"/>
        <w:rPr>
          <w:rFonts w:ascii="宋体" w:hAnsi="宋体"/>
          <w:sz w:val="24"/>
          <w:szCs w:val="24"/>
        </w:rPr>
      </w:pPr>
      <w:r>
        <w:rPr>
          <w:rFonts w:hint="eastAsia" w:ascii="宋体" w:hAnsi="宋体"/>
          <w:sz w:val="24"/>
          <w:szCs w:val="24"/>
        </w:rPr>
        <w:t>本表由各区燃气管理部门、各液化气经营企业填报</w:t>
      </w:r>
    </w:p>
    <w:p>
      <w:pPr>
        <w:pStyle w:val="17"/>
        <w:spacing w:line="600" w:lineRule="exact"/>
        <w:ind w:firstLine="0" w:firstLineChars="0"/>
        <w:jc w:val="left"/>
        <w:rPr>
          <w:rFonts w:ascii="仿宋_GB2312" w:hAnsi="宋体" w:eastAsia="仿宋_GB2312"/>
          <w:sz w:val="32"/>
          <w:szCs w:val="32"/>
        </w:rPr>
      </w:pPr>
      <w:r>
        <w:rPr>
          <w:rFonts w:ascii="宋体" w:hAnsi="宋体"/>
          <w:sz w:val="24"/>
          <w:szCs w:val="24"/>
        </w:rPr>
        <w:br w:type="page"/>
      </w:r>
      <w:r>
        <w:rPr>
          <w:rFonts w:hint="eastAsia" w:ascii="仿宋_GB2312" w:hAnsi="宋体" w:eastAsia="仿宋_GB2312"/>
          <w:sz w:val="32"/>
          <w:szCs w:val="32"/>
        </w:rPr>
        <w:t>附件</w:t>
      </w:r>
      <w:r>
        <w:rPr>
          <w:rFonts w:ascii="仿宋_GB2312" w:hAnsi="宋体" w:eastAsia="仿宋_GB2312"/>
          <w:sz w:val="32"/>
          <w:szCs w:val="32"/>
        </w:rPr>
        <w:t>9</w:t>
      </w:r>
    </w:p>
    <w:p>
      <w:pPr>
        <w:pStyle w:val="17"/>
        <w:spacing w:line="600" w:lineRule="exact"/>
        <w:ind w:firstLine="0" w:firstLineChars="0"/>
        <w:jc w:val="center"/>
        <w:rPr>
          <w:rFonts w:ascii="黑体" w:hAnsi="黑体" w:eastAsia="黑体"/>
          <w:sz w:val="32"/>
          <w:szCs w:val="32"/>
        </w:rPr>
      </w:pPr>
      <w:r>
        <w:rPr>
          <w:rFonts w:hint="eastAsia" w:ascii="黑体" w:hAnsi="黑体" w:eastAsia="黑体"/>
          <w:sz w:val="32"/>
          <w:szCs w:val="32"/>
        </w:rPr>
        <w:t>数字化专项工作统计表</w:t>
      </w:r>
    </w:p>
    <w:p>
      <w:pPr>
        <w:pStyle w:val="17"/>
        <w:spacing w:line="600" w:lineRule="exact"/>
        <w:ind w:firstLine="0" w:firstLineChars="0"/>
        <w:jc w:val="left"/>
        <w:rPr>
          <w:rFonts w:ascii="宋体" w:hAnsi="宋体"/>
          <w:sz w:val="24"/>
          <w:szCs w:val="24"/>
        </w:rPr>
      </w:pPr>
      <w:r>
        <w:rPr>
          <w:rFonts w:hint="eastAsia" w:ascii="宋体" w:hAnsi="宋体"/>
          <w:sz w:val="24"/>
          <w:szCs w:val="24"/>
        </w:rPr>
        <w:t>单位：</w:t>
      </w:r>
    </w:p>
    <w:tbl>
      <w:tblPr>
        <w:tblStyle w:val="7"/>
        <w:tblW w:w="13640" w:type="dxa"/>
        <w:tblInd w:w="113" w:type="dxa"/>
        <w:tblLayout w:type="autofit"/>
        <w:tblCellMar>
          <w:top w:w="0" w:type="dxa"/>
          <w:left w:w="108" w:type="dxa"/>
          <w:bottom w:w="0" w:type="dxa"/>
          <w:right w:w="108" w:type="dxa"/>
        </w:tblCellMar>
      </w:tblPr>
      <w:tblGrid>
        <w:gridCol w:w="820"/>
        <w:gridCol w:w="3144"/>
        <w:gridCol w:w="3969"/>
        <w:gridCol w:w="2007"/>
        <w:gridCol w:w="3700"/>
      </w:tblGrid>
      <w:tr>
        <w:tblPrEx>
          <w:tblCellMar>
            <w:top w:w="0" w:type="dxa"/>
            <w:left w:w="108" w:type="dxa"/>
            <w:bottom w:w="0" w:type="dxa"/>
            <w:right w:w="108" w:type="dxa"/>
          </w:tblCellMar>
        </w:tblPrEx>
        <w:trPr>
          <w:trHeight w:val="288"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31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工作任务</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工作内容</w:t>
            </w:r>
          </w:p>
        </w:tc>
        <w:tc>
          <w:tcPr>
            <w:tcW w:w="20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责任单位</w:t>
            </w:r>
          </w:p>
        </w:tc>
        <w:tc>
          <w:tcPr>
            <w:tcW w:w="3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工作结果综述</w:t>
            </w:r>
          </w:p>
        </w:tc>
      </w:tr>
      <w:tr>
        <w:tblPrEx>
          <w:tblCellMar>
            <w:top w:w="0" w:type="dxa"/>
            <w:left w:w="108" w:type="dxa"/>
            <w:bottom w:w="0" w:type="dxa"/>
            <w:right w:w="108" w:type="dxa"/>
          </w:tblCellMar>
        </w:tblPrEx>
        <w:trPr>
          <w:trHeight w:val="1984"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31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18</w:t>
            </w:r>
            <w:r>
              <w:rPr>
                <w:rFonts w:hint="eastAsia" w:ascii="宋体" w:hAnsi="宋体" w:cs="宋体"/>
                <w:b/>
                <w:bCs/>
                <w:kern w:val="0"/>
                <w:sz w:val="24"/>
                <w:szCs w:val="24"/>
              </w:rPr>
              <w:t>项：</w:t>
            </w:r>
            <w:r>
              <w:rPr>
                <w:rFonts w:hint="eastAsia" w:ascii="宋体" w:hAnsi="宋体" w:cs="宋体"/>
                <w:kern w:val="0"/>
                <w:sz w:val="24"/>
                <w:szCs w:val="24"/>
              </w:rPr>
              <w:t>燃气管理部门要依托城市一网统管和安全发展示范城市创建，建立安全风险监测预警平台（试点）</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结合“一网统管”，加强预警能力建设，推进燃气管理数字化转型，有序推进城市安全风险监测预警平台建设试点，建设燃气数字地图，加强燃气安全运行管控。</w:t>
            </w:r>
          </w:p>
        </w:tc>
        <w:tc>
          <w:tcPr>
            <w:tcW w:w="20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相关区燃气管理部门</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197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31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19</w:t>
            </w:r>
            <w:r>
              <w:rPr>
                <w:rFonts w:hint="eastAsia" w:ascii="宋体" w:hAnsi="宋体" w:cs="宋体"/>
                <w:b/>
                <w:bCs/>
                <w:kern w:val="0"/>
                <w:sz w:val="24"/>
                <w:szCs w:val="24"/>
              </w:rPr>
              <w:t>项：</w:t>
            </w:r>
            <w:r>
              <w:rPr>
                <w:rFonts w:hint="eastAsia" w:ascii="宋体" w:hAnsi="宋体" w:cs="宋体"/>
                <w:kern w:val="0"/>
                <w:sz w:val="24"/>
                <w:szCs w:val="24"/>
              </w:rPr>
              <w:t>燃气经营企业要完善主干管网全寿命周期管理体系建设，有序推进燃气管网基础设施数字孪生底座建设。</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持续完善主干管网全寿命周期管理体系建设，探索5G+“无人机”等新型燃气管网巡检技术，有序推进燃气管网基础设施数字孪生底座建设。</w:t>
            </w:r>
          </w:p>
        </w:tc>
        <w:tc>
          <w:tcPr>
            <w:tcW w:w="20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上海天然气管网有限公司</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1984"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31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b/>
                <w:bCs/>
                <w:kern w:val="0"/>
                <w:sz w:val="24"/>
                <w:szCs w:val="24"/>
              </w:rPr>
              <w:t>任务分解表第</w:t>
            </w:r>
            <w:r>
              <w:rPr>
                <w:rFonts w:ascii="宋体" w:hAnsi="宋体" w:cs="宋体"/>
                <w:b/>
                <w:bCs/>
                <w:kern w:val="0"/>
                <w:sz w:val="24"/>
                <w:szCs w:val="24"/>
              </w:rPr>
              <w:t>20</w:t>
            </w:r>
            <w:r>
              <w:rPr>
                <w:rFonts w:hint="eastAsia" w:ascii="宋体" w:hAnsi="宋体" w:cs="宋体"/>
                <w:b/>
                <w:bCs/>
                <w:kern w:val="0"/>
                <w:sz w:val="24"/>
                <w:szCs w:val="24"/>
              </w:rPr>
              <w:t>项：</w:t>
            </w:r>
            <w:r>
              <w:rPr>
                <w:rFonts w:hint="eastAsia" w:ascii="宋体" w:hAnsi="宋体" w:cs="宋体"/>
                <w:kern w:val="0"/>
                <w:sz w:val="24"/>
                <w:szCs w:val="24"/>
              </w:rPr>
              <w:t>燃气经营企业要完善对重要节点的燃气设施的实时监控和预警，预判处置管网隐患，防范管线泄漏事故（附件9）。</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依托燃气数据采集和监控系统（SCADA）平台，完善对重要节点的燃气管道、调压器、阀门井等实时监控和预警，预判处置管网隐患，防范管线泄漏事故。</w:t>
            </w:r>
          </w:p>
        </w:tc>
        <w:tc>
          <w:tcPr>
            <w:tcW w:w="20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各管道气经营企业</w:t>
            </w:r>
          </w:p>
        </w:tc>
        <w:tc>
          <w:tcPr>
            <w:tcW w:w="3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bl>
    <w:p>
      <w:pPr>
        <w:pStyle w:val="17"/>
        <w:spacing w:line="600" w:lineRule="exact"/>
        <w:ind w:firstLine="0" w:firstLineChars="0"/>
        <w:jc w:val="left"/>
        <w:rPr>
          <w:rFonts w:ascii="宋体" w:hAnsi="宋体"/>
          <w:sz w:val="24"/>
          <w:szCs w:val="24"/>
        </w:rPr>
      </w:pPr>
      <w:r>
        <w:rPr>
          <w:rFonts w:hint="eastAsia" w:ascii="宋体" w:hAnsi="宋体"/>
          <w:sz w:val="24"/>
          <w:szCs w:val="24"/>
        </w:rPr>
        <w:t>本表由</w:t>
      </w:r>
      <w:r>
        <w:rPr>
          <w:rFonts w:hint="eastAsia" w:ascii="宋体" w:hAnsi="宋体" w:cs="宋体"/>
          <w:kern w:val="0"/>
          <w:sz w:val="24"/>
          <w:szCs w:val="24"/>
        </w:rPr>
        <w:t>相关区燃气管理部门、相关</w:t>
      </w:r>
      <w:r>
        <w:rPr>
          <w:rFonts w:hint="eastAsia" w:ascii="宋体" w:hAnsi="宋体"/>
          <w:sz w:val="24"/>
          <w:szCs w:val="24"/>
        </w:rPr>
        <w:t>燃气经营企业填报</w:t>
      </w:r>
    </w:p>
    <w:p>
      <w:pPr>
        <w:pStyle w:val="17"/>
        <w:spacing w:line="600" w:lineRule="exact"/>
        <w:ind w:firstLine="0" w:firstLineChars="0"/>
        <w:jc w:val="left"/>
        <w:rPr>
          <w:rFonts w:ascii="仿宋_GB2312" w:hAnsi="宋体" w:eastAsia="仿宋_GB2312"/>
          <w:sz w:val="32"/>
          <w:szCs w:val="32"/>
        </w:rPr>
        <w:sectPr>
          <w:pgSz w:w="16838" w:h="11906" w:orient="landscape"/>
          <w:pgMar w:top="1418" w:right="1559" w:bottom="1418" w:left="1588" w:header="851" w:footer="992" w:gutter="0"/>
          <w:pgNumType w:fmt="decimal"/>
          <w:cols w:space="720" w:num="1"/>
          <w:docGrid w:type="linesAndChars" w:linePitch="312" w:charSpace="0"/>
        </w:sectPr>
      </w:pPr>
    </w:p>
    <w:p>
      <w:pPr>
        <w:pStyle w:val="17"/>
        <w:spacing w:line="600" w:lineRule="exact"/>
        <w:ind w:firstLine="0" w:firstLineChars="0"/>
        <w:jc w:val="left"/>
        <w:rPr>
          <w:rFonts w:ascii="仿宋_GB2312" w:hAnsi="宋体" w:eastAsia="仿宋_GB2312"/>
          <w:sz w:val="32"/>
          <w:szCs w:val="32"/>
        </w:rPr>
      </w:pPr>
      <w:r>
        <w:rPr>
          <w:rFonts w:hint="eastAsia" w:ascii="仿宋_GB2312" w:hAnsi="宋体" w:eastAsia="仿宋_GB2312"/>
          <w:sz w:val="32"/>
          <w:szCs w:val="32"/>
        </w:rPr>
        <w:t>附件10</w:t>
      </w:r>
    </w:p>
    <w:p>
      <w:pPr>
        <w:pStyle w:val="17"/>
        <w:spacing w:line="600" w:lineRule="exact"/>
        <w:ind w:firstLine="0" w:firstLineChars="0"/>
        <w:jc w:val="center"/>
        <w:rPr>
          <w:rFonts w:ascii="黑体" w:hAnsi="黑体" w:eastAsia="黑体"/>
          <w:sz w:val="32"/>
          <w:szCs w:val="32"/>
        </w:rPr>
      </w:pPr>
      <w:r>
        <w:rPr>
          <w:rFonts w:hint="eastAsia" w:ascii="黑体" w:hAnsi="黑体" w:eastAsia="黑体"/>
          <w:sz w:val="32"/>
          <w:szCs w:val="32"/>
        </w:rPr>
        <w:t>城镇燃气安全排查整治信息统计表</w:t>
      </w:r>
    </w:p>
    <w:p>
      <w:pPr>
        <w:pStyle w:val="17"/>
        <w:spacing w:line="600" w:lineRule="exact"/>
        <w:ind w:firstLine="0" w:firstLineChars="0"/>
        <w:jc w:val="left"/>
        <w:rPr>
          <w:rFonts w:ascii="宋体" w:hAnsi="宋体"/>
          <w:sz w:val="24"/>
          <w:szCs w:val="24"/>
        </w:rPr>
      </w:pPr>
      <w:r>
        <w:rPr>
          <w:rFonts w:hint="eastAsia" w:ascii="宋体" w:hAnsi="宋体"/>
          <w:sz w:val="24"/>
          <w:szCs w:val="24"/>
        </w:rPr>
        <w:t>报送单位：报送时间：</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535"/>
        <w:gridCol w:w="935"/>
        <w:gridCol w:w="378"/>
        <w:gridCol w:w="1902"/>
        <w:gridCol w:w="1672"/>
        <w:gridCol w:w="4264"/>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restart"/>
            <w:vAlign w:val="center"/>
          </w:tcPr>
          <w:p>
            <w:pPr>
              <w:rPr>
                <w:b/>
                <w:bCs/>
                <w:sz w:val="24"/>
                <w:szCs w:val="24"/>
              </w:rPr>
            </w:pPr>
            <w:r>
              <w:rPr>
                <w:rFonts w:hint="eastAsia"/>
                <w:b/>
                <w:bCs/>
                <w:sz w:val="24"/>
                <w:szCs w:val="24"/>
              </w:rPr>
              <w:t>经营企业情况</w:t>
            </w:r>
          </w:p>
        </w:tc>
        <w:tc>
          <w:tcPr>
            <w:tcW w:w="1708" w:type="pct"/>
            <w:gridSpan w:val="4"/>
            <w:vAlign w:val="center"/>
          </w:tcPr>
          <w:p>
            <w:pPr>
              <w:rPr>
                <w:sz w:val="24"/>
                <w:szCs w:val="24"/>
              </w:rPr>
            </w:pPr>
            <w:r>
              <w:rPr>
                <w:rFonts w:hint="eastAsia"/>
                <w:sz w:val="24"/>
                <w:szCs w:val="24"/>
              </w:rPr>
              <w:t>管道燃气经营企业数量（个）</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管道燃气经营企业从业人数（个）</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continue"/>
            <w:vAlign w:val="center"/>
          </w:tcPr>
          <w:p>
            <w:pPr>
              <w:rPr>
                <w:b/>
                <w:bCs/>
                <w:sz w:val="24"/>
                <w:szCs w:val="24"/>
              </w:rPr>
            </w:pPr>
          </w:p>
        </w:tc>
        <w:tc>
          <w:tcPr>
            <w:tcW w:w="1708" w:type="pct"/>
            <w:gridSpan w:val="4"/>
            <w:vAlign w:val="center"/>
          </w:tcPr>
          <w:p>
            <w:pPr>
              <w:rPr>
                <w:sz w:val="24"/>
                <w:szCs w:val="24"/>
              </w:rPr>
            </w:pPr>
            <w:r>
              <w:rPr>
                <w:rFonts w:hint="eastAsia"/>
                <w:sz w:val="24"/>
                <w:szCs w:val="24"/>
              </w:rPr>
              <w:t>瓶装液化气经营企业数量（个）</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瓶装液化气经营企业从业人数（个）</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restart"/>
            <w:vAlign w:val="center"/>
          </w:tcPr>
          <w:p>
            <w:pPr>
              <w:rPr>
                <w:b/>
                <w:bCs/>
                <w:sz w:val="24"/>
                <w:szCs w:val="24"/>
              </w:rPr>
            </w:pPr>
            <w:r>
              <w:rPr>
                <w:rFonts w:hint="eastAsia"/>
                <w:b/>
                <w:bCs/>
                <w:sz w:val="24"/>
                <w:szCs w:val="24"/>
              </w:rPr>
              <w:t>管网情况</w:t>
            </w:r>
          </w:p>
        </w:tc>
        <w:tc>
          <w:tcPr>
            <w:tcW w:w="552" w:type="pct"/>
            <w:vMerge w:val="restart"/>
            <w:vAlign w:val="center"/>
          </w:tcPr>
          <w:p>
            <w:pPr>
              <w:jc w:val="left"/>
              <w:rPr>
                <w:sz w:val="24"/>
                <w:szCs w:val="24"/>
              </w:rPr>
            </w:pPr>
            <w:r>
              <w:rPr>
                <w:rFonts w:hint="eastAsia"/>
                <w:sz w:val="24"/>
                <w:szCs w:val="24"/>
              </w:rPr>
              <w:t>老旧管道（公里）　</w:t>
            </w:r>
          </w:p>
        </w:tc>
        <w:tc>
          <w:tcPr>
            <w:tcW w:w="472" w:type="pct"/>
            <w:gridSpan w:val="2"/>
            <w:vMerge w:val="restart"/>
            <w:vAlign w:val="center"/>
          </w:tcPr>
          <w:p>
            <w:pPr>
              <w:jc w:val="left"/>
              <w:rPr>
                <w:sz w:val="24"/>
                <w:szCs w:val="24"/>
              </w:rPr>
            </w:pPr>
            <w:r>
              <w:rPr>
                <w:rFonts w:hint="eastAsia"/>
                <w:sz w:val="24"/>
                <w:szCs w:val="24"/>
              </w:rPr>
              <w:t>2000年前建设</w:t>
            </w:r>
          </w:p>
        </w:tc>
        <w:tc>
          <w:tcPr>
            <w:tcW w:w="684" w:type="pct"/>
            <w:vAlign w:val="center"/>
          </w:tcPr>
          <w:p>
            <w:pPr>
              <w:rPr>
                <w:sz w:val="24"/>
                <w:szCs w:val="24"/>
              </w:rPr>
            </w:pPr>
            <w:r>
              <w:rPr>
                <w:rFonts w:hint="eastAsia"/>
                <w:sz w:val="24"/>
                <w:szCs w:val="24"/>
              </w:rPr>
              <w:t>球墨铸铁</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存在隐患的管道长度（公里）</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continue"/>
            <w:vAlign w:val="center"/>
          </w:tcPr>
          <w:p>
            <w:pPr>
              <w:rPr>
                <w:b/>
                <w:bCs/>
                <w:sz w:val="24"/>
                <w:szCs w:val="24"/>
              </w:rPr>
            </w:pPr>
          </w:p>
        </w:tc>
        <w:tc>
          <w:tcPr>
            <w:tcW w:w="552" w:type="pct"/>
            <w:vMerge w:val="continue"/>
            <w:vAlign w:val="center"/>
          </w:tcPr>
          <w:p>
            <w:pPr>
              <w:rPr>
                <w:sz w:val="24"/>
                <w:szCs w:val="24"/>
              </w:rPr>
            </w:pPr>
          </w:p>
        </w:tc>
        <w:tc>
          <w:tcPr>
            <w:tcW w:w="472" w:type="pct"/>
            <w:gridSpan w:val="2"/>
            <w:vMerge w:val="continue"/>
            <w:vAlign w:val="center"/>
          </w:tcPr>
          <w:p>
            <w:pPr>
              <w:rPr>
                <w:sz w:val="24"/>
                <w:szCs w:val="24"/>
              </w:rPr>
            </w:pPr>
          </w:p>
        </w:tc>
        <w:tc>
          <w:tcPr>
            <w:tcW w:w="684" w:type="pct"/>
            <w:vAlign w:val="center"/>
          </w:tcPr>
          <w:p>
            <w:pPr>
              <w:rPr>
                <w:sz w:val="24"/>
                <w:szCs w:val="24"/>
              </w:rPr>
            </w:pPr>
            <w:r>
              <w:rPr>
                <w:rFonts w:hint="eastAsia"/>
                <w:sz w:val="24"/>
                <w:szCs w:val="24"/>
              </w:rPr>
              <w:t>钢管</w:t>
            </w:r>
          </w:p>
        </w:tc>
        <w:tc>
          <w:tcPr>
            <w:tcW w:w="601" w:type="pct"/>
            <w:vAlign w:val="center"/>
          </w:tcPr>
          <w:p>
            <w:pPr>
              <w:rPr>
                <w:sz w:val="24"/>
                <w:szCs w:val="24"/>
              </w:rPr>
            </w:pPr>
            <w:r>
              <w:rPr>
                <w:rFonts w:hint="eastAsia"/>
                <w:sz w:val="24"/>
                <w:szCs w:val="24"/>
              </w:rPr>
              <w:t>　</w:t>
            </w:r>
          </w:p>
        </w:tc>
        <w:tc>
          <w:tcPr>
            <w:tcW w:w="1533" w:type="pct"/>
            <w:vMerge w:val="restart"/>
            <w:vAlign w:val="center"/>
          </w:tcPr>
          <w:p>
            <w:pPr>
              <w:rPr>
                <w:sz w:val="24"/>
                <w:szCs w:val="24"/>
              </w:rPr>
            </w:pPr>
            <w:r>
              <w:rPr>
                <w:rFonts w:hint="eastAsia"/>
                <w:sz w:val="24"/>
                <w:szCs w:val="24"/>
              </w:rPr>
              <w:t>整改完成管道长度（公里）</w:t>
            </w:r>
          </w:p>
        </w:tc>
        <w:tc>
          <w:tcPr>
            <w:tcW w:w="534" w:type="pct"/>
            <w:vMerge w:val="restar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continue"/>
            <w:vAlign w:val="center"/>
          </w:tcPr>
          <w:p>
            <w:pPr>
              <w:rPr>
                <w:b/>
                <w:bCs/>
                <w:sz w:val="24"/>
                <w:szCs w:val="24"/>
              </w:rPr>
            </w:pPr>
          </w:p>
        </w:tc>
        <w:tc>
          <w:tcPr>
            <w:tcW w:w="552" w:type="pct"/>
            <w:vMerge w:val="continue"/>
            <w:vAlign w:val="center"/>
          </w:tcPr>
          <w:p>
            <w:pPr>
              <w:rPr>
                <w:sz w:val="24"/>
                <w:szCs w:val="24"/>
              </w:rPr>
            </w:pPr>
          </w:p>
        </w:tc>
        <w:tc>
          <w:tcPr>
            <w:tcW w:w="472" w:type="pct"/>
            <w:gridSpan w:val="2"/>
            <w:vMerge w:val="continue"/>
            <w:vAlign w:val="center"/>
          </w:tcPr>
          <w:p>
            <w:pPr>
              <w:rPr>
                <w:sz w:val="24"/>
                <w:szCs w:val="24"/>
              </w:rPr>
            </w:pPr>
          </w:p>
        </w:tc>
        <w:tc>
          <w:tcPr>
            <w:tcW w:w="684" w:type="pct"/>
            <w:vAlign w:val="center"/>
          </w:tcPr>
          <w:p>
            <w:pPr>
              <w:rPr>
                <w:sz w:val="24"/>
                <w:szCs w:val="24"/>
              </w:rPr>
            </w:pPr>
            <w:r>
              <w:rPr>
                <w:rFonts w:hint="eastAsia"/>
                <w:sz w:val="24"/>
                <w:szCs w:val="24"/>
              </w:rPr>
              <w:t>PE管</w:t>
            </w:r>
          </w:p>
        </w:tc>
        <w:tc>
          <w:tcPr>
            <w:tcW w:w="601" w:type="pct"/>
            <w:vAlign w:val="center"/>
          </w:tcPr>
          <w:p>
            <w:pPr>
              <w:rPr>
                <w:sz w:val="24"/>
                <w:szCs w:val="24"/>
              </w:rPr>
            </w:pPr>
            <w:r>
              <w:rPr>
                <w:rFonts w:hint="eastAsia"/>
                <w:sz w:val="24"/>
                <w:szCs w:val="24"/>
              </w:rPr>
              <w:t>　</w:t>
            </w:r>
          </w:p>
        </w:tc>
        <w:tc>
          <w:tcPr>
            <w:tcW w:w="1533" w:type="pct"/>
            <w:vMerge w:val="continue"/>
            <w:vAlign w:val="center"/>
          </w:tcPr>
          <w:p>
            <w:pPr>
              <w:rPr>
                <w:sz w:val="24"/>
                <w:szCs w:val="24"/>
              </w:rPr>
            </w:pPr>
          </w:p>
        </w:tc>
        <w:tc>
          <w:tcPr>
            <w:tcW w:w="534" w:type="pct"/>
            <w:vMerge w:val="continue"/>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continue"/>
            <w:vAlign w:val="center"/>
          </w:tcPr>
          <w:p>
            <w:pPr>
              <w:rPr>
                <w:b/>
                <w:bCs/>
                <w:sz w:val="24"/>
                <w:szCs w:val="24"/>
              </w:rPr>
            </w:pPr>
          </w:p>
        </w:tc>
        <w:tc>
          <w:tcPr>
            <w:tcW w:w="1708" w:type="pct"/>
            <w:gridSpan w:val="4"/>
            <w:vAlign w:val="center"/>
          </w:tcPr>
          <w:p>
            <w:pPr>
              <w:rPr>
                <w:sz w:val="24"/>
                <w:szCs w:val="24"/>
              </w:rPr>
            </w:pPr>
            <w:r>
              <w:rPr>
                <w:rFonts w:hint="eastAsia"/>
                <w:sz w:val="24"/>
                <w:szCs w:val="24"/>
              </w:rPr>
              <w:t>违章占压管道数量（处）</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整改完成违章占压管道数量（处）</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Align w:val="center"/>
          </w:tcPr>
          <w:p>
            <w:pPr>
              <w:rPr>
                <w:b/>
                <w:bCs/>
                <w:sz w:val="24"/>
                <w:szCs w:val="24"/>
              </w:rPr>
            </w:pPr>
            <w:r>
              <w:rPr>
                <w:rFonts w:hint="eastAsia"/>
                <w:b/>
                <w:bCs/>
                <w:sz w:val="24"/>
                <w:szCs w:val="24"/>
              </w:rPr>
              <w:t>场站情况</w:t>
            </w:r>
          </w:p>
        </w:tc>
        <w:tc>
          <w:tcPr>
            <w:tcW w:w="1708" w:type="pct"/>
            <w:gridSpan w:val="4"/>
            <w:vAlign w:val="center"/>
          </w:tcPr>
          <w:p>
            <w:pPr>
              <w:rPr>
                <w:sz w:val="24"/>
                <w:szCs w:val="24"/>
              </w:rPr>
            </w:pPr>
            <w:r>
              <w:rPr>
                <w:rFonts w:hint="eastAsia"/>
                <w:sz w:val="24"/>
                <w:szCs w:val="24"/>
              </w:rPr>
              <w:t>外部安全间距不足场站数量（处）</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整改完成外部安全间距不足场站数量（处）</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restart"/>
            <w:vAlign w:val="center"/>
          </w:tcPr>
          <w:p>
            <w:pPr>
              <w:rPr>
                <w:b/>
                <w:bCs/>
                <w:sz w:val="24"/>
                <w:szCs w:val="24"/>
              </w:rPr>
            </w:pPr>
            <w:r>
              <w:rPr>
                <w:rFonts w:hint="eastAsia"/>
                <w:b/>
                <w:bCs/>
                <w:sz w:val="24"/>
                <w:szCs w:val="24"/>
              </w:rPr>
              <w:t>燃气企业安全生产隐患排查汇总情况</w:t>
            </w:r>
          </w:p>
        </w:tc>
        <w:tc>
          <w:tcPr>
            <w:tcW w:w="1708" w:type="pct"/>
            <w:gridSpan w:val="4"/>
            <w:vAlign w:val="center"/>
          </w:tcPr>
          <w:p>
            <w:pPr>
              <w:rPr>
                <w:sz w:val="24"/>
                <w:szCs w:val="24"/>
              </w:rPr>
            </w:pPr>
            <w:r>
              <w:rPr>
                <w:rFonts w:hint="eastAsia"/>
                <w:sz w:val="24"/>
                <w:szCs w:val="24"/>
              </w:rPr>
              <w:t>排查出的一般隐患数量（个）</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整改完成的一般隐患数量（个）</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continue"/>
            <w:vAlign w:val="center"/>
          </w:tcPr>
          <w:p>
            <w:pPr>
              <w:rPr>
                <w:b/>
                <w:bCs/>
                <w:sz w:val="24"/>
                <w:szCs w:val="24"/>
              </w:rPr>
            </w:pPr>
          </w:p>
        </w:tc>
        <w:tc>
          <w:tcPr>
            <w:tcW w:w="1708" w:type="pct"/>
            <w:gridSpan w:val="4"/>
            <w:vAlign w:val="center"/>
          </w:tcPr>
          <w:p>
            <w:pPr>
              <w:rPr>
                <w:sz w:val="24"/>
                <w:szCs w:val="24"/>
              </w:rPr>
            </w:pPr>
            <w:r>
              <w:rPr>
                <w:rFonts w:hint="eastAsia"/>
                <w:sz w:val="24"/>
                <w:szCs w:val="24"/>
              </w:rPr>
              <w:t>排查出的重大隐患数量（个）</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整改完成的重大隐患数量（个）</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restart"/>
            <w:vAlign w:val="center"/>
          </w:tcPr>
          <w:p>
            <w:pPr>
              <w:rPr>
                <w:b/>
                <w:bCs/>
                <w:sz w:val="24"/>
                <w:szCs w:val="24"/>
              </w:rPr>
            </w:pPr>
            <w:r>
              <w:rPr>
                <w:rFonts w:hint="eastAsia"/>
                <w:b/>
                <w:bCs/>
                <w:sz w:val="24"/>
                <w:szCs w:val="24"/>
              </w:rPr>
              <w:t>非居民用户燃气设施隐患排查汇总情况</w:t>
            </w:r>
          </w:p>
        </w:tc>
        <w:tc>
          <w:tcPr>
            <w:tcW w:w="552" w:type="pct"/>
            <w:noWrap/>
            <w:vAlign w:val="center"/>
          </w:tcPr>
          <w:p>
            <w:pPr>
              <w:rPr>
                <w:sz w:val="24"/>
                <w:szCs w:val="24"/>
              </w:rPr>
            </w:pPr>
            <w:r>
              <w:rPr>
                <w:rFonts w:hint="eastAsia"/>
                <w:sz w:val="24"/>
                <w:szCs w:val="24"/>
              </w:rPr>
              <w:t>管道气</w:t>
            </w:r>
          </w:p>
        </w:tc>
        <w:tc>
          <w:tcPr>
            <w:tcW w:w="1156" w:type="pct"/>
            <w:gridSpan w:val="3"/>
            <w:vAlign w:val="center"/>
          </w:tcPr>
          <w:p>
            <w:pPr>
              <w:rPr>
                <w:sz w:val="24"/>
                <w:szCs w:val="24"/>
              </w:rPr>
            </w:pPr>
            <w:r>
              <w:rPr>
                <w:rFonts w:hint="eastAsia"/>
                <w:sz w:val="24"/>
                <w:szCs w:val="24"/>
              </w:rPr>
              <w:t>排查出的隐患数量（个）</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整改完成的隐患数量（个）</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continue"/>
            <w:vAlign w:val="center"/>
          </w:tcPr>
          <w:p>
            <w:pPr>
              <w:rPr>
                <w:b/>
                <w:bCs/>
                <w:sz w:val="24"/>
                <w:szCs w:val="24"/>
              </w:rPr>
            </w:pPr>
          </w:p>
        </w:tc>
        <w:tc>
          <w:tcPr>
            <w:tcW w:w="552" w:type="pct"/>
            <w:noWrap/>
            <w:vAlign w:val="center"/>
          </w:tcPr>
          <w:p>
            <w:pPr>
              <w:rPr>
                <w:sz w:val="24"/>
                <w:szCs w:val="24"/>
              </w:rPr>
            </w:pPr>
            <w:r>
              <w:rPr>
                <w:rFonts w:hint="eastAsia"/>
                <w:sz w:val="24"/>
                <w:szCs w:val="24"/>
              </w:rPr>
              <w:t>液化气</w:t>
            </w:r>
          </w:p>
        </w:tc>
        <w:tc>
          <w:tcPr>
            <w:tcW w:w="1156" w:type="pct"/>
            <w:gridSpan w:val="3"/>
            <w:vAlign w:val="center"/>
          </w:tcPr>
          <w:p>
            <w:pPr>
              <w:rPr>
                <w:sz w:val="24"/>
                <w:szCs w:val="24"/>
              </w:rPr>
            </w:pPr>
            <w:r>
              <w:rPr>
                <w:rFonts w:hint="eastAsia"/>
                <w:sz w:val="24"/>
                <w:szCs w:val="24"/>
              </w:rPr>
              <w:t>排查出的隐患数量（个）</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整改完成的隐患数量（个）</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restart"/>
            <w:vAlign w:val="center"/>
          </w:tcPr>
          <w:p>
            <w:pPr>
              <w:rPr>
                <w:b/>
                <w:bCs/>
                <w:sz w:val="24"/>
                <w:szCs w:val="24"/>
              </w:rPr>
            </w:pPr>
            <w:r>
              <w:rPr>
                <w:rFonts w:hint="eastAsia"/>
                <w:b/>
                <w:bCs/>
                <w:sz w:val="24"/>
                <w:szCs w:val="24"/>
              </w:rPr>
              <w:t>执法检查情况</w:t>
            </w:r>
          </w:p>
        </w:tc>
        <w:tc>
          <w:tcPr>
            <w:tcW w:w="1708" w:type="pct"/>
            <w:gridSpan w:val="4"/>
            <w:vAlign w:val="center"/>
          </w:tcPr>
          <w:p>
            <w:pPr>
              <w:rPr>
                <w:sz w:val="24"/>
                <w:szCs w:val="24"/>
              </w:rPr>
            </w:pPr>
            <w:r>
              <w:rPr>
                <w:rFonts w:hint="eastAsia"/>
                <w:sz w:val="24"/>
                <w:szCs w:val="24"/>
              </w:rPr>
              <w:t>燃气安全执法检查次数（次）</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燃气安全执法检查处罚次数（次）</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continue"/>
            <w:vAlign w:val="center"/>
          </w:tcPr>
          <w:p>
            <w:pPr>
              <w:rPr>
                <w:b/>
                <w:bCs/>
                <w:sz w:val="24"/>
                <w:szCs w:val="24"/>
              </w:rPr>
            </w:pPr>
          </w:p>
        </w:tc>
        <w:tc>
          <w:tcPr>
            <w:tcW w:w="1708" w:type="pct"/>
            <w:gridSpan w:val="4"/>
            <w:vAlign w:val="center"/>
          </w:tcPr>
          <w:p>
            <w:pPr>
              <w:rPr>
                <w:sz w:val="24"/>
                <w:szCs w:val="24"/>
              </w:rPr>
            </w:pPr>
            <w:r>
              <w:rPr>
                <w:rFonts w:hint="eastAsia"/>
                <w:sz w:val="24"/>
                <w:szCs w:val="24"/>
              </w:rPr>
              <w:t>取缔非法燃气企业数量（家）</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吊销燃气经营许可证企业数量（家）</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continue"/>
            <w:vAlign w:val="center"/>
          </w:tcPr>
          <w:p>
            <w:pPr>
              <w:rPr>
                <w:b/>
                <w:bCs/>
                <w:sz w:val="24"/>
                <w:szCs w:val="24"/>
              </w:rPr>
            </w:pPr>
          </w:p>
        </w:tc>
        <w:tc>
          <w:tcPr>
            <w:tcW w:w="1708" w:type="pct"/>
            <w:gridSpan w:val="4"/>
            <w:vAlign w:val="center"/>
          </w:tcPr>
          <w:p>
            <w:pPr>
              <w:rPr>
                <w:sz w:val="24"/>
                <w:szCs w:val="24"/>
              </w:rPr>
            </w:pPr>
            <w:r>
              <w:rPr>
                <w:rFonts w:hint="eastAsia"/>
                <w:sz w:val="24"/>
                <w:szCs w:val="24"/>
              </w:rPr>
              <w:t>责令停产整顿（家）</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执法检查处罚金额（万元）</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continue"/>
            <w:vAlign w:val="center"/>
          </w:tcPr>
          <w:p>
            <w:pPr>
              <w:rPr>
                <w:b/>
                <w:bCs/>
                <w:sz w:val="24"/>
                <w:szCs w:val="24"/>
              </w:rPr>
            </w:pPr>
          </w:p>
        </w:tc>
        <w:tc>
          <w:tcPr>
            <w:tcW w:w="1708" w:type="pct"/>
            <w:gridSpan w:val="4"/>
            <w:vAlign w:val="center"/>
          </w:tcPr>
          <w:p>
            <w:pPr>
              <w:rPr>
                <w:sz w:val="24"/>
                <w:szCs w:val="24"/>
              </w:rPr>
            </w:pPr>
            <w:r>
              <w:rPr>
                <w:rFonts w:hint="eastAsia"/>
                <w:sz w:val="24"/>
                <w:szCs w:val="24"/>
              </w:rPr>
              <w:t>移送司法机关（人）</w:t>
            </w:r>
          </w:p>
        </w:tc>
        <w:tc>
          <w:tcPr>
            <w:tcW w:w="2668" w:type="pct"/>
            <w:gridSpan w:val="3"/>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restart"/>
            <w:vAlign w:val="center"/>
          </w:tcPr>
          <w:p>
            <w:pPr>
              <w:rPr>
                <w:b/>
                <w:bCs/>
                <w:sz w:val="24"/>
                <w:szCs w:val="24"/>
              </w:rPr>
            </w:pPr>
            <w:r>
              <w:rPr>
                <w:rFonts w:hint="eastAsia"/>
                <w:b/>
                <w:bCs/>
                <w:sz w:val="24"/>
                <w:szCs w:val="24"/>
              </w:rPr>
              <w:t>老旧小区排查情况</w:t>
            </w:r>
          </w:p>
        </w:tc>
        <w:tc>
          <w:tcPr>
            <w:tcW w:w="1708" w:type="pct"/>
            <w:gridSpan w:val="4"/>
            <w:vAlign w:val="center"/>
          </w:tcPr>
          <w:p>
            <w:pPr>
              <w:rPr>
                <w:sz w:val="24"/>
                <w:szCs w:val="24"/>
              </w:rPr>
            </w:pPr>
            <w:r>
              <w:rPr>
                <w:rFonts w:hint="eastAsia"/>
                <w:sz w:val="24"/>
                <w:szCs w:val="24"/>
              </w:rPr>
              <w:t>老旧小区总数（个）</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已开展排查的小区总数（个）</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continue"/>
            <w:vAlign w:val="center"/>
          </w:tcPr>
          <w:p>
            <w:pPr>
              <w:rPr>
                <w:b/>
                <w:bCs/>
                <w:sz w:val="24"/>
                <w:szCs w:val="24"/>
              </w:rPr>
            </w:pPr>
          </w:p>
        </w:tc>
        <w:tc>
          <w:tcPr>
            <w:tcW w:w="1708" w:type="pct"/>
            <w:gridSpan w:val="4"/>
            <w:vAlign w:val="center"/>
          </w:tcPr>
          <w:p>
            <w:pPr>
              <w:rPr>
                <w:sz w:val="24"/>
                <w:szCs w:val="24"/>
              </w:rPr>
            </w:pPr>
            <w:r>
              <w:rPr>
                <w:rFonts w:hint="eastAsia"/>
                <w:sz w:val="24"/>
                <w:szCs w:val="24"/>
              </w:rPr>
              <w:t>排查隐患数量（个）</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整改完成隐患数量（个）</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restart"/>
            <w:vAlign w:val="center"/>
          </w:tcPr>
          <w:p>
            <w:pPr>
              <w:rPr>
                <w:b/>
                <w:bCs/>
                <w:sz w:val="24"/>
                <w:szCs w:val="24"/>
              </w:rPr>
            </w:pPr>
            <w:r>
              <w:rPr>
                <w:rFonts w:hint="eastAsia"/>
                <w:b/>
                <w:bCs/>
                <w:sz w:val="24"/>
                <w:szCs w:val="24"/>
              </w:rPr>
              <w:t>可燃气体泄漏报警装置的安装情况</w:t>
            </w:r>
          </w:p>
        </w:tc>
        <w:tc>
          <w:tcPr>
            <w:tcW w:w="888" w:type="pct"/>
            <w:gridSpan w:val="2"/>
            <w:vMerge w:val="restart"/>
            <w:vAlign w:val="center"/>
          </w:tcPr>
          <w:p>
            <w:pPr>
              <w:rPr>
                <w:sz w:val="24"/>
                <w:szCs w:val="24"/>
              </w:rPr>
            </w:pPr>
            <w:r>
              <w:rPr>
                <w:rFonts w:hint="eastAsia"/>
                <w:sz w:val="24"/>
                <w:szCs w:val="24"/>
              </w:rPr>
              <w:t>餐饮企业数量（家）</w:t>
            </w:r>
          </w:p>
        </w:tc>
        <w:tc>
          <w:tcPr>
            <w:tcW w:w="820" w:type="pct"/>
            <w:gridSpan w:val="2"/>
            <w:vAlign w:val="center"/>
          </w:tcPr>
          <w:p>
            <w:pPr>
              <w:rPr>
                <w:sz w:val="24"/>
                <w:szCs w:val="24"/>
              </w:rPr>
            </w:pPr>
            <w:r>
              <w:rPr>
                <w:rFonts w:hint="eastAsia"/>
                <w:sz w:val="24"/>
                <w:szCs w:val="24"/>
              </w:rPr>
              <w:t>管道天然气</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已安装可燃气体泄漏报警装置家数</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continue"/>
            <w:vAlign w:val="center"/>
          </w:tcPr>
          <w:p>
            <w:pPr>
              <w:rPr>
                <w:b/>
                <w:bCs/>
                <w:sz w:val="24"/>
                <w:szCs w:val="24"/>
              </w:rPr>
            </w:pPr>
          </w:p>
        </w:tc>
        <w:tc>
          <w:tcPr>
            <w:tcW w:w="888" w:type="pct"/>
            <w:gridSpan w:val="2"/>
            <w:vMerge w:val="continue"/>
            <w:vAlign w:val="center"/>
          </w:tcPr>
          <w:p>
            <w:pPr>
              <w:rPr>
                <w:sz w:val="24"/>
                <w:szCs w:val="24"/>
              </w:rPr>
            </w:pPr>
          </w:p>
        </w:tc>
        <w:tc>
          <w:tcPr>
            <w:tcW w:w="820" w:type="pct"/>
            <w:gridSpan w:val="2"/>
            <w:vAlign w:val="center"/>
          </w:tcPr>
          <w:p>
            <w:pPr>
              <w:rPr>
                <w:sz w:val="24"/>
                <w:szCs w:val="24"/>
              </w:rPr>
            </w:pPr>
            <w:r>
              <w:rPr>
                <w:rFonts w:hint="eastAsia"/>
                <w:sz w:val="24"/>
                <w:szCs w:val="24"/>
              </w:rPr>
              <w:t>瓶装液化气</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已安装可燃气体泄漏报警装置家数</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continue"/>
            <w:vAlign w:val="center"/>
          </w:tcPr>
          <w:p>
            <w:pPr>
              <w:rPr>
                <w:b/>
                <w:bCs/>
                <w:sz w:val="24"/>
                <w:szCs w:val="24"/>
              </w:rPr>
            </w:pPr>
          </w:p>
        </w:tc>
        <w:tc>
          <w:tcPr>
            <w:tcW w:w="888" w:type="pct"/>
            <w:gridSpan w:val="2"/>
            <w:vMerge w:val="restart"/>
            <w:vAlign w:val="center"/>
          </w:tcPr>
          <w:p>
            <w:pPr>
              <w:rPr>
                <w:sz w:val="24"/>
                <w:szCs w:val="24"/>
              </w:rPr>
            </w:pPr>
            <w:r>
              <w:rPr>
                <w:rFonts w:hint="eastAsia"/>
                <w:sz w:val="24"/>
                <w:szCs w:val="24"/>
              </w:rPr>
              <w:t>居民用户数量（户）</w:t>
            </w:r>
          </w:p>
        </w:tc>
        <w:tc>
          <w:tcPr>
            <w:tcW w:w="820" w:type="pct"/>
            <w:gridSpan w:val="2"/>
            <w:vAlign w:val="center"/>
          </w:tcPr>
          <w:p>
            <w:pPr>
              <w:rPr>
                <w:sz w:val="24"/>
                <w:szCs w:val="24"/>
              </w:rPr>
            </w:pPr>
            <w:r>
              <w:rPr>
                <w:rFonts w:hint="eastAsia"/>
                <w:sz w:val="24"/>
                <w:szCs w:val="24"/>
              </w:rPr>
              <w:t>管道天然气</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已安装可燃气体泄漏报警装置家数</w:t>
            </w:r>
          </w:p>
        </w:tc>
        <w:tc>
          <w:tcPr>
            <w:tcW w:w="534" w:type="pct"/>
            <w:vAlign w:val="center"/>
          </w:tcPr>
          <w:p>
            <w:pPr>
              <w:rPr>
                <w:sz w:val="24"/>
                <w:szCs w:val="24"/>
              </w:rPr>
            </w:pPr>
            <w:r>
              <w:rPr>
                <w:rFonts w:hint="eastAsia"/>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4" w:type="pct"/>
            <w:vMerge w:val="continue"/>
            <w:vAlign w:val="center"/>
          </w:tcPr>
          <w:p>
            <w:pPr>
              <w:rPr>
                <w:b/>
                <w:bCs/>
                <w:sz w:val="24"/>
                <w:szCs w:val="24"/>
              </w:rPr>
            </w:pPr>
          </w:p>
        </w:tc>
        <w:tc>
          <w:tcPr>
            <w:tcW w:w="888" w:type="pct"/>
            <w:gridSpan w:val="2"/>
            <w:vMerge w:val="continue"/>
            <w:vAlign w:val="center"/>
          </w:tcPr>
          <w:p>
            <w:pPr>
              <w:rPr>
                <w:sz w:val="24"/>
                <w:szCs w:val="24"/>
              </w:rPr>
            </w:pPr>
          </w:p>
        </w:tc>
        <w:tc>
          <w:tcPr>
            <w:tcW w:w="820" w:type="pct"/>
            <w:gridSpan w:val="2"/>
            <w:vAlign w:val="center"/>
          </w:tcPr>
          <w:p>
            <w:pPr>
              <w:rPr>
                <w:sz w:val="24"/>
                <w:szCs w:val="24"/>
              </w:rPr>
            </w:pPr>
            <w:r>
              <w:rPr>
                <w:rFonts w:hint="eastAsia"/>
                <w:sz w:val="24"/>
                <w:szCs w:val="24"/>
              </w:rPr>
              <w:t>瓶装液化气</w:t>
            </w:r>
          </w:p>
        </w:tc>
        <w:tc>
          <w:tcPr>
            <w:tcW w:w="601" w:type="pct"/>
            <w:vAlign w:val="center"/>
          </w:tcPr>
          <w:p>
            <w:pPr>
              <w:rPr>
                <w:sz w:val="24"/>
                <w:szCs w:val="24"/>
              </w:rPr>
            </w:pPr>
            <w:r>
              <w:rPr>
                <w:rFonts w:hint="eastAsia"/>
                <w:sz w:val="24"/>
                <w:szCs w:val="24"/>
              </w:rPr>
              <w:t>　</w:t>
            </w:r>
          </w:p>
        </w:tc>
        <w:tc>
          <w:tcPr>
            <w:tcW w:w="1533" w:type="pct"/>
            <w:vAlign w:val="center"/>
          </w:tcPr>
          <w:p>
            <w:pPr>
              <w:rPr>
                <w:sz w:val="24"/>
                <w:szCs w:val="24"/>
              </w:rPr>
            </w:pPr>
            <w:r>
              <w:rPr>
                <w:rFonts w:hint="eastAsia"/>
                <w:sz w:val="24"/>
                <w:szCs w:val="24"/>
              </w:rPr>
              <w:t>已安装可燃气体泄漏报警装置家数</w:t>
            </w:r>
          </w:p>
        </w:tc>
        <w:tc>
          <w:tcPr>
            <w:tcW w:w="534" w:type="pct"/>
            <w:vAlign w:val="center"/>
          </w:tcPr>
          <w:p>
            <w:pPr>
              <w:rPr>
                <w:sz w:val="24"/>
                <w:szCs w:val="24"/>
              </w:rPr>
            </w:pPr>
            <w:r>
              <w:rPr>
                <w:rFonts w:hint="eastAsia"/>
                <w:sz w:val="24"/>
                <w:szCs w:val="24"/>
              </w:rPr>
              <w:t>　</w:t>
            </w:r>
          </w:p>
        </w:tc>
      </w:tr>
    </w:tbl>
    <w:p>
      <w:pPr>
        <w:pStyle w:val="17"/>
        <w:spacing w:line="600" w:lineRule="exact"/>
        <w:ind w:firstLine="0" w:firstLineChars="0"/>
        <w:jc w:val="left"/>
        <w:rPr>
          <w:rFonts w:ascii="宋体" w:hAnsi="宋体"/>
          <w:sz w:val="24"/>
          <w:szCs w:val="24"/>
        </w:rPr>
        <w:sectPr>
          <w:pgSz w:w="16838" w:h="11906" w:orient="landscape"/>
          <w:pgMar w:top="1418" w:right="1559" w:bottom="1418" w:left="1588" w:header="851" w:footer="992" w:gutter="0"/>
          <w:pgNumType w:fmt="decimal"/>
          <w:cols w:space="720" w:num="1"/>
          <w:docGrid w:type="linesAndChars" w:linePitch="312" w:charSpace="0"/>
        </w:sectPr>
      </w:pPr>
      <w:r>
        <w:rPr>
          <w:rFonts w:hint="eastAsia" w:ascii="宋体" w:hAnsi="宋体"/>
          <w:sz w:val="24"/>
          <w:szCs w:val="24"/>
        </w:rPr>
        <w:t>本表由区燃气管理部门填报</w:t>
      </w:r>
    </w:p>
    <w:p>
      <w:pPr>
        <w:pStyle w:val="17"/>
        <w:spacing w:line="600" w:lineRule="exact"/>
        <w:ind w:firstLine="0" w:firstLineChars="0"/>
        <w:jc w:val="left"/>
        <w:rPr>
          <w:rFonts w:ascii="仿宋_GB2312" w:hAnsi="宋体" w:eastAsia="仿宋_GB2312"/>
          <w:sz w:val="32"/>
          <w:szCs w:val="32"/>
        </w:rPr>
      </w:pPr>
      <w:r>
        <w:rPr>
          <w:rFonts w:hint="eastAsia" w:ascii="仿宋_GB2312" w:hAnsi="宋体" w:eastAsia="仿宋_GB2312"/>
          <w:sz w:val="32"/>
          <w:szCs w:val="32"/>
        </w:rPr>
        <w:t>附件11</w:t>
      </w:r>
    </w:p>
    <w:p>
      <w:pPr>
        <w:pStyle w:val="17"/>
        <w:spacing w:line="600" w:lineRule="exact"/>
        <w:ind w:firstLine="0" w:firstLineChars="0"/>
        <w:jc w:val="center"/>
        <w:rPr>
          <w:rFonts w:ascii="黑体" w:hAnsi="黑体" w:eastAsia="黑体"/>
          <w:sz w:val="32"/>
          <w:szCs w:val="32"/>
        </w:rPr>
      </w:pPr>
      <w:r>
        <w:rPr>
          <w:rFonts w:hint="eastAsia" w:ascii="黑体" w:hAnsi="黑体" w:eastAsia="黑体"/>
          <w:sz w:val="32"/>
          <w:szCs w:val="32"/>
        </w:rPr>
        <w:t>城镇燃气重大安全风险隐患排查整治统计表</w:t>
      </w:r>
    </w:p>
    <w:p>
      <w:pPr>
        <w:pStyle w:val="17"/>
        <w:spacing w:line="600" w:lineRule="exact"/>
        <w:ind w:firstLine="0" w:firstLineChars="0"/>
        <w:jc w:val="left"/>
        <w:rPr>
          <w:rFonts w:ascii="宋体" w:hAnsi="宋体"/>
          <w:sz w:val="24"/>
          <w:szCs w:val="24"/>
        </w:rPr>
      </w:pPr>
      <w:r>
        <w:rPr>
          <w:rFonts w:hint="eastAsia" w:ascii="宋体" w:hAnsi="宋体"/>
          <w:sz w:val="24"/>
          <w:szCs w:val="24"/>
        </w:rPr>
        <w:t>报送单位：报送时间：</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84"/>
        <w:gridCol w:w="1850"/>
        <w:gridCol w:w="1850"/>
        <w:gridCol w:w="1853"/>
        <w:gridCol w:w="1850"/>
        <w:gridCol w:w="185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94" w:type="pct"/>
            <w:vAlign w:val="center"/>
          </w:tcPr>
          <w:p>
            <w:pPr>
              <w:jc w:val="center"/>
              <w:rPr>
                <w:rFonts w:ascii="宋体" w:hAnsi="宋体"/>
                <w:b/>
                <w:bCs/>
                <w:sz w:val="24"/>
                <w:szCs w:val="24"/>
              </w:rPr>
            </w:pPr>
            <w:r>
              <w:rPr>
                <w:rFonts w:ascii="宋体" w:hAnsi="宋体"/>
                <w:b/>
                <w:bCs/>
                <w:sz w:val="24"/>
                <w:szCs w:val="24"/>
              </w:rPr>
              <w:t>序号</w:t>
            </w:r>
          </w:p>
        </w:tc>
        <w:tc>
          <w:tcPr>
            <w:tcW w:w="713" w:type="pct"/>
            <w:vAlign w:val="center"/>
          </w:tcPr>
          <w:p>
            <w:pPr>
              <w:jc w:val="center"/>
              <w:rPr>
                <w:rFonts w:ascii="宋体" w:hAnsi="宋体"/>
                <w:b/>
                <w:bCs/>
                <w:sz w:val="24"/>
                <w:szCs w:val="24"/>
              </w:rPr>
            </w:pPr>
            <w:r>
              <w:rPr>
                <w:rFonts w:ascii="宋体" w:hAnsi="宋体"/>
                <w:b/>
                <w:bCs/>
                <w:sz w:val="24"/>
                <w:szCs w:val="24"/>
              </w:rPr>
              <w:t>隐患类别</w:t>
            </w:r>
          </w:p>
        </w:tc>
        <w:tc>
          <w:tcPr>
            <w:tcW w:w="665" w:type="pct"/>
            <w:vAlign w:val="center"/>
          </w:tcPr>
          <w:p>
            <w:pPr>
              <w:jc w:val="center"/>
              <w:rPr>
                <w:rFonts w:ascii="宋体" w:hAnsi="宋体"/>
                <w:b/>
                <w:bCs/>
                <w:sz w:val="24"/>
                <w:szCs w:val="24"/>
              </w:rPr>
            </w:pPr>
            <w:r>
              <w:rPr>
                <w:rFonts w:ascii="宋体" w:hAnsi="宋体"/>
                <w:b/>
                <w:bCs/>
                <w:sz w:val="24"/>
                <w:szCs w:val="24"/>
              </w:rPr>
              <w:t>重大隐患情况</w:t>
            </w:r>
          </w:p>
        </w:tc>
        <w:tc>
          <w:tcPr>
            <w:tcW w:w="665" w:type="pct"/>
            <w:vAlign w:val="center"/>
          </w:tcPr>
          <w:p>
            <w:pPr>
              <w:jc w:val="center"/>
              <w:rPr>
                <w:rFonts w:ascii="宋体" w:hAnsi="宋体"/>
                <w:b/>
                <w:bCs/>
                <w:sz w:val="24"/>
                <w:szCs w:val="24"/>
              </w:rPr>
            </w:pPr>
            <w:r>
              <w:rPr>
                <w:rFonts w:ascii="宋体" w:hAnsi="宋体"/>
                <w:b/>
                <w:bCs/>
                <w:sz w:val="24"/>
                <w:szCs w:val="24"/>
              </w:rPr>
              <w:t>整改措施</w:t>
            </w:r>
          </w:p>
        </w:tc>
        <w:tc>
          <w:tcPr>
            <w:tcW w:w="666" w:type="pct"/>
            <w:vAlign w:val="center"/>
          </w:tcPr>
          <w:p>
            <w:pPr>
              <w:jc w:val="center"/>
              <w:rPr>
                <w:rFonts w:ascii="宋体" w:hAnsi="宋体"/>
                <w:b/>
                <w:bCs/>
                <w:sz w:val="24"/>
                <w:szCs w:val="24"/>
              </w:rPr>
            </w:pPr>
            <w:r>
              <w:rPr>
                <w:rFonts w:ascii="宋体" w:hAnsi="宋体"/>
                <w:b/>
                <w:bCs/>
                <w:sz w:val="24"/>
                <w:szCs w:val="24"/>
              </w:rPr>
              <w:t>完成时限</w:t>
            </w:r>
          </w:p>
        </w:tc>
        <w:tc>
          <w:tcPr>
            <w:tcW w:w="665" w:type="pct"/>
            <w:vAlign w:val="center"/>
          </w:tcPr>
          <w:p>
            <w:pPr>
              <w:jc w:val="center"/>
              <w:rPr>
                <w:rFonts w:ascii="宋体" w:hAnsi="宋体"/>
                <w:b/>
                <w:bCs/>
                <w:sz w:val="24"/>
                <w:szCs w:val="24"/>
              </w:rPr>
            </w:pPr>
            <w:r>
              <w:rPr>
                <w:rFonts w:ascii="宋体" w:hAnsi="宋体"/>
                <w:b/>
                <w:bCs/>
                <w:sz w:val="24"/>
                <w:szCs w:val="24"/>
              </w:rPr>
              <w:t>责任部门和责任人</w:t>
            </w:r>
          </w:p>
        </w:tc>
        <w:tc>
          <w:tcPr>
            <w:tcW w:w="665" w:type="pct"/>
            <w:vAlign w:val="center"/>
          </w:tcPr>
          <w:p>
            <w:pPr>
              <w:jc w:val="center"/>
              <w:rPr>
                <w:rFonts w:ascii="宋体" w:hAnsi="宋体"/>
                <w:b/>
                <w:bCs/>
                <w:sz w:val="24"/>
                <w:szCs w:val="24"/>
              </w:rPr>
            </w:pPr>
            <w:r>
              <w:rPr>
                <w:rFonts w:ascii="宋体" w:hAnsi="宋体"/>
                <w:b/>
                <w:bCs/>
                <w:sz w:val="24"/>
                <w:szCs w:val="24"/>
              </w:rPr>
              <w:t>整改落实情况</w:t>
            </w:r>
          </w:p>
        </w:tc>
        <w:tc>
          <w:tcPr>
            <w:tcW w:w="666" w:type="pct"/>
            <w:vAlign w:val="center"/>
          </w:tcPr>
          <w:p>
            <w:pPr>
              <w:jc w:val="center"/>
              <w:rPr>
                <w:rFonts w:ascii="宋体" w:hAnsi="宋体"/>
                <w:b/>
                <w:bCs/>
                <w:sz w:val="24"/>
                <w:szCs w:val="24"/>
              </w:rPr>
            </w:pPr>
            <w:r>
              <w:rPr>
                <w:rFonts w:hint="eastAsia" w:ascii="宋体" w:hAnsi="宋体"/>
                <w:b/>
                <w:bCs/>
                <w:sz w:val="24"/>
                <w:szCs w:val="24"/>
              </w:rPr>
              <w:t>已</w:t>
            </w:r>
            <w:r>
              <w:rPr>
                <w:rFonts w:ascii="宋体" w:hAnsi="宋体"/>
                <w:b/>
                <w:bCs/>
                <w:sz w:val="24"/>
                <w:szCs w:val="24"/>
              </w:rPr>
              <w:t>完成整改</w:t>
            </w:r>
            <w:r>
              <w:rPr>
                <w:rFonts w:hint="eastAsia" w:ascii="宋体" w:hAnsi="宋体"/>
                <w:b/>
                <w:bCs/>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94" w:type="pct"/>
            <w:vAlign w:val="center"/>
          </w:tcPr>
          <w:p>
            <w:pPr>
              <w:jc w:val="center"/>
              <w:rPr>
                <w:rFonts w:ascii="宋体" w:hAnsi="宋体"/>
                <w:sz w:val="24"/>
                <w:szCs w:val="24"/>
              </w:rPr>
            </w:pPr>
            <w:r>
              <w:rPr>
                <w:rFonts w:ascii="宋体" w:hAnsi="宋体"/>
                <w:sz w:val="24"/>
                <w:szCs w:val="24"/>
              </w:rPr>
              <w:t>1</w:t>
            </w:r>
          </w:p>
        </w:tc>
        <w:tc>
          <w:tcPr>
            <w:tcW w:w="713" w:type="pct"/>
            <w:vAlign w:val="center"/>
          </w:tcPr>
          <w:p>
            <w:pPr>
              <w:rPr>
                <w:rFonts w:ascii="宋体" w:hAnsi="宋体"/>
                <w:sz w:val="24"/>
                <w:szCs w:val="24"/>
              </w:rPr>
            </w:pPr>
            <w:r>
              <w:rPr>
                <w:rFonts w:hint="eastAsia" w:ascii="宋体" w:hAnsi="宋体"/>
                <w:sz w:val="24"/>
                <w:szCs w:val="24"/>
              </w:rPr>
              <w:t>存在隐患的老旧管道</w:t>
            </w:r>
          </w:p>
        </w:tc>
        <w:tc>
          <w:tcPr>
            <w:tcW w:w="665" w:type="pct"/>
            <w:vAlign w:val="center"/>
          </w:tcPr>
          <w:p>
            <w:pPr>
              <w:rPr>
                <w:rFonts w:ascii="宋体" w:hAnsi="宋体"/>
                <w:sz w:val="24"/>
                <w:szCs w:val="24"/>
              </w:rPr>
            </w:pPr>
            <w:r>
              <w:rPr>
                <w:rFonts w:ascii="宋体" w:hAnsi="宋体"/>
                <w:sz w:val="24"/>
                <w:szCs w:val="24"/>
              </w:rPr>
              <w:t>　</w:t>
            </w:r>
          </w:p>
        </w:tc>
        <w:tc>
          <w:tcPr>
            <w:tcW w:w="665" w:type="pct"/>
            <w:vAlign w:val="center"/>
          </w:tcPr>
          <w:p>
            <w:pPr>
              <w:rPr>
                <w:rFonts w:ascii="宋体" w:hAnsi="宋体"/>
                <w:sz w:val="24"/>
                <w:szCs w:val="24"/>
              </w:rPr>
            </w:pPr>
            <w:r>
              <w:rPr>
                <w:rFonts w:ascii="宋体" w:hAnsi="宋体"/>
                <w:sz w:val="24"/>
                <w:szCs w:val="24"/>
              </w:rPr>
              <w:t>　</w:t>
            </w:r>
          </w:p>
        </w:tc>
        <w:tc>
          <w:tcPr>
            <w:tcW w:w="666" w:type="pct"/>
            <w:vAlign w:val="center"/>
          </w:tcPr>
          <w:p>
            <w:pPr>
              <w:rPr>
                <w:rFonts w:ascii="宋体" w:hAnsi="宋体"/>
                <w:sz w:val="24"/>
                <w:szCs w:val="24"/>
              </w:rPr>
            </w:pPr>
            <w:r>
              <w:rPr>
                <w:rFonts w:ascii="宋体" w:hAnsi="宋体"/>
                <w:sz w:val="24"/>
                <w:szCs w:val="24"/>
              </w:rPr>
              <w:t>　</w:t>
            </w:r>
          </w:p>
        </w:tc>
        <w:tc>
          <w:tcPr>
            <w:tcW w:w="665" w:type="pct"/>
            <w:vAlign w:val="center"/>
          </w:tcPr>
          <w:p>
            <w:pPr>
              <w:rPr>
                <w:rFonts w:ascii="宋体" w:hAnsi="宋体"/>
                <w:sz w:val="24"/>
                <w:szCs w:val="24"/>
              </w:rPr>
            </w:pPr>
            <w:r>
              <w:rPr>
                <w:rFonts w:ascii="宋体" w:hAnsi="宋体"/>
                <w:sz w:val="24"/>
                <w:szCs w:val="24"/>
              </w:rPr>
              <w:t>　</w:t>
            </w:r>
          </w:p>
        </w:tc>
        <w:tc>
          <w:tcPr>
            <w:tcW w:w="665" w:type="pct"/>
            <w:vAlign w:val="center"/>
          </w:tcPr>
          <w:p>
            <w:pPr>
              <w:rPr>
                <w:rFonts w:ascii="宋体" w:hAnsi="宋体"/>
                <w:sz w:val="24"/>
                <w:szCs w:val="24"/>
              </w:rPr>
            </w:pPr>
            <w:r>
              <w:rPr>
                <w:rFonts w:ascii="宋体" w:hAnsi="宋体"/>
                <w:sz w:val="24"/>
                <w:szCs w:val="24"/>
              </w:rPr>
              <w:t>　</w:t>
            </w:r>
          </w:p>
        </w:tc>
        <w:tc>
          <w:tcPr>
            <w:tcW w:w="666" w:type="pct"/>
            <w:vAlign w:val="center"/>
          </w:tcPr>
          <w:p>
            <w:pPr>
              <w:rPr>
                <w:rFonts w:ascii="宋体" w:hAnsi="宋体"/>
                <w:sz w:val="24"/>
                <w:szCs w:val="24"/>
              </w:rPr>
            </w:pPr>
            <w:r>
              <w:rPr>
                <w:rFonts w:ascii="宋体" w:hAnsi="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94" w:type="pct"/>
            <w:vAlign w:val="center"/>
          </w:tcPr>
          <w:p>
            <w:pPr>
              <w:jc w:val="center"/>
              <w:rPr>
                <w:rFonts w:ascii="宋体" w:hAnsi="宋体"/>
                <w:sz w:val="24"/>
                <w:szCs w:val="24"/>
              </w:rPr>
            </w:pPr>
            <w:r>
              <w:rPr>
                <w:rFonts w:ascii="宋体" w:hAnsi="宋体"/>
                <w:sz w:val="24"/>
                <w:szCs w:val="24"/>
              </w:rPr>
              <w:t>2</w:t>
            </w:r>
          </w:p>
        </w:tc>
        <w:tc>
          <w:tcPr>
            <w:tcW w:w="713" w:type="pct"/>
            <w:vAlign w:val="center"/>
          </w:tcPr>
          <w:p>
            <w:pPr>
              <w:rPr>
                <w:rFonts w:ascii="宋体" w:hAnsi="宋体"/>
                <w:sz w:val="24"/>
                <w:szCs w:val="24"/>
              </w:rPr>
            </w:pPr>
            <w:r>
              <w:rPr>
                <w:rFonts w:hint="eastAsia" w:ascii="宋体" w:hAnsi="宋体"/>
                <w:sz w:val="24"/>
                <w:szCs w:val="24"/>
              </w:rPr>
              <w:t>违章占压（高中压管道）</w:t>
            </w:r>
          </w:p>
        </w:tc>
        <w:tc>
          <w:tcPr>
            <w:tcW w:w="665" w:type="pct"/>
            <w:vAlign w:val="center"/>
          </w:tcPr>
          <w:p>
            <w:pPr>
              <w:rPr>
                <w:rFonts w:ascii="宋体" w:hAnsi="宋体"/>
                <w:sz w:val="24"/>
                <w:szCs w:val="24"/>
              </w:rPr>
            </w:pPr>
            <w:r>
              <w:rPr>
                <w:rFonts w:ascii="宋体" w:hAnsi="宋体"/>
                <w:sz w:val="24"/>
                <w:szCs w:val="24"/>
              </w:rPr>
              <w:t>　</w:t>
            </w:r>
          </w:p>
        </w:tc>
        <w:tc>
          <w:tcPr>
            <w:tcW w:w="665" w:type="pct"/>
            <w:vAlign w:val="center"/>
          </w:tcPr>
          <w:p>
            <w:pPr>
              <w:rPr>
                <w:rFonts w:ascii="宋体" w:hAnsi="宋体"/>
                <w:sz w:val="24"/>
                <w:szCs w:val="24"/>
              </w:rPr>
            </w:pPr>
            <w:r>
              <w:rPr>
                <w:rFonts w:ascii="宋体" w:hAnsi="宋体"/>
                <w:sz w:val="24"/>
                <w:szCs w:val="24"/>
              </w:rPr>
              <w:t>　</w:t>
            </w:r>
          </w:p>
        </w:tc>
        <w:tc>
          <w:tcPr>
            <w:tcW w:w="666" w:type="pct"/>
            <w:vAlign w:val="center"/>
          </w:tcPr>
          <w:p>
            <w:pPr>
              <w:rPr>
                <w:rFonts w:ascii="宋体" w:hAnsi="宋体"/>
                <w:sz w:val="24"/>
                <w:szCs w:val="24"/>
              </w:rPr>
            </w:pPr>
            <w:r>
              <w:rPr>
                <w:rFonts w:ascii="宋体" w:hAnsi="宋体"/>
                <w:sz w:val="24"/>
                <w:szCs w:val="24"/>
              </w:rPr>
              <w:t>　</w:t>
            </w:r>
          </w:p>
        </w:tc>
        <w:tc>
          <w:tcPr>
            <w:tcW w:w="665" w:type="pct"/>
            <w:vAlign w:val="center"/>
          </w:tcPr>
          <w:p>
            <w:pPr>
              <w:rPr>
                <w:rFonts w:ascii="宋体" w:hAnsi="宋体"/>
                <w:sz w:val="24"/>
                <w:szCs w:val="24"/>
              </w:rPr>
            </w:pPr>
            <w:r>
              <w:rPr>
                <w:rFonts w:ascii="宋体" w:hAnsi="宋体"/>
                <w:sz w:val="24"/>
                <w:szCs w:val="24"/>
              </w:rPr>
              <w:t>　</w:t>
            </w:r>
          </w:p>
        </w:tc>
        <w:tc>
          <w:tcPr>
            <w:tcW w:w="665" w:type="pct"/>
            <w:vAlign w:val="center"/>
          </w:tcPr>
          <w:p>
            <w:pPr>
              <w:rPr>
                <w:rFonts w:ascii="宋体" w:hAnsi="宋体"/>
                <w:sz w:val="24"/>
                <w:szCs w:val="24"/>
              </w:rPr>
            </w:pPr>
            <w:r>
              <w:rPr>
                <w:rFonts w:ascii="宋体" w:hAnsi="宋体"/>
                <w:sz w:val="24"/>
                <w:szCs w:val="24"/>
              </w:rPr>
              <w:t>　</w:t>
            </w:r>
          </w:p>
        </w:tc>
        <w:tc>
          <w:tcPr>
            <w:tcW w:w="666" w:type="pct"/>
            <w:vAlign w:val="center"/>
          </w:tcPr>
          <w:p>
            <w:pPr>
              <w:rPr>
                <w:rFonts w:ascii="宋体" w:hAnsi="宋体"/>
                <w:sz w:val="24"/>
                <w:szCs w:val="24"/>
              </w:rPr>
            </w:pPr>
            <w:r>
              <w:rPr>
                <w:rFonts w:ascii="宋体" w:hAnsi="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94" w:type="pct"/>
            <w:vAlign w:val="center"/>
          </w:tcPr>
          <w:p>
            <w:pPr>
              <w:jc w:val="center"/>
              <w:rPr>
                <w:rFonts w:ascii="宋体" w:hAnsi="宋体"/>
                <w:sz w:val="24"/>
                <w:szCs w:val="24"/>
              </w:rPr>
            </w:pPr>
            <w:r>
              <w:rPr>
                <w:rFonts w:ascii="宋体" w:hAnsi="宋体"/>
                <w:sz w:val="24"/>
                <w:szCs w:val="24"/>
              </w:rPr>
              <w:t>3</w:t>
            </w:r>
          </w:p>
        </w:tc>
        <w:tc>
          <w:tcPr>
            <w:tcW w:w="713" w:type="pct"/>
            <w:vAlign w:val="center"/>
          </w:tcPr>
          <w:p>
            <w:pPr>
              <w:rPr>
                <w:rFonts w:ascii="宋体" w:hAnsi="宋体"/>
                <w:sz w:val="24"/>
                <w:szCs w:val="24"/>
              </w:rPr>
            </w:pPr>
            <w:r>
              <w:rPr>
                <w:rFonts w:hint="eastAsia" w:ascii="宋体" w:hAnsi="宋体"/>
                <w:sz w:val="24"/>
                <w:szCs w:val="24"/>
              </w:rPr>
              <w:t>燃气场站安全间距不足</w:t>
            </w:r>
          </w:p>
        </w:tc>
        <w:tc>
          <w:tcPr>
            <w:tcW w:w="665" w:type="pct"/>
            <w:vAlign w:val="center"/>
          </w:tcPr>
          <w:p>
            <w:pPr>
              <w:rPr>
                <w:rFonts w:ascii="宋体" w:hAnsi="宋体"/>
                <w:sz w:val="24"/>
                <w:szCs w:val="24"/>
              </w:rPr>
            </w:pPr>
            <w:r>
              <w:rPr>
                <w:rFonts w:ascii="宋体" w:hAnsi="宋体"/>
                <w:sz w:val="24"/>
                <w:szCs w:val="24"/>
              </w:rPr>
              <w:t>　</w:t>
            </w:r>
          </w:p>
        </w:tc>
        <w:tc>
          <w:tcPr>
            <w:tcW w:w="665" w:type="pct"/>
            <w:vAlign w:val="center"/>
          </w:tcPr>
          <w:p>
            <w:pPr>
              <w:rPr>
                <w:rFonts w:ascii="宋体" w:hAnsi="宋体"/>
                <w:sz w:val="24"/>
                <w:szCs w:val="24"/>
              </w:rPr>
            </w:pPr>
            <w:r>
              <w:rPr>
                <w:rFonts w:ascii="宋体" w:hAnsi="宋体"/>
                <w:sz w:val="24"/>
                <w:szCs w:val="24"/>
              </w:rPr>
              <w:t>　</w:t>
            </w:r>
          </w:p>
        </w:tc>
        <w:tc>
          <w:tcPr>
            <w:tcW w:w="666" w:type="pct"/>
            <w:vAlign w:val="center"/>
          </w:tcPr>
          <w:p>
            <w:pPr>
              <w:rPr>
                <w:rFonts w:ascii="宋体" w:hAnsi="宋体"/>
                <w:sz w:val="24"/>
                <w:szCs w:val="24"/>
              </w:rPr>
            </w:pPr>
            <w:r>
              <w:rPr>
                <w:rFonts w:ascii="宋体" w:hAnsi="宋体"/>
                <w:sz w:val="24"/>
                <w:szCs w:val="24"/>
              </w:rPr>
              <w:t>　</w:t>
            </w:r>
          </w:p>
        </w:tc>
        <w:tc>
          <w:tcPr>
            <w:tcW w:w="665" w:type="pct"/>
            <w:vAlign w:val="center"/>
          </w:tcPr>
          <w:p>
            <w:pPr>
              <w:rPr>
                <w:rFonts w:ascii="宋体" w:hAnsi="宋体"/>
                <w:sz w:val="24"/>
                <w:szCs w:val="24"/>
              </w:rPr>
            </w:pPr>
            <w:r>
              <w:rPr>
                <w:rFonts w:ascii="宋体" w:hAnsi="宋体"/>
                <w:sz w:val="24"/>
                <w:szCs w:val="24"/>
              </w:rPr>
              <w:t>　</w:t>
            </w:r>
          </w:p>
        </w:tc>
        <w:tc>
          <w:tcPr>
            <w:tcW w:w="665" w:type="pct"/>
            <w:vAlign w:val="center"/>
          </w:tcPr>
          <w:p>
            <w:pPr>
              <w:rPr>
                <w:rFonts w:ascii="宋体" w:hAnsi="宋体"/>
                <w:sz w:val="24"/>
                <w:szCs w:val="24"/>
              </w:rPr>
            </w:pPr>
            <w:r>
              <w:rPr>
                <w:rFonts w:ascii="宋体" w:hAnsi="宋体"/>
                <w:sz w:val="24"/>
                <w:szCs w:val="24"/>
              </w:rPr>
              <w:t>　</w:t>
            </w:r>
          </w:p>
        </w:tc>
        <w:tc>
          <w:tcPr>
            <w:tcW w:w="666" w:type="pct"/>
            <w:vAlign w:val="center"/>
          </w:tcPr>
          <w:p>
            <w:pPr>
              <w:rPr>
                <w:rFonts w:ascii="宋体" w:hAnsi="宋体"/>
                <w:sz w:val="24"/>
                <w:szCs w:val="24"/>
              </w:rPr>
            </w:pPr>
            <w:r>
              <w:rPr>
                <w:rFonts w:ascii="宋体" w:hAnsi="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94" w:type="pct"/>
            <w:vAlign w:val="center"/>
          </w:tcPr>
          <w:p>
            <w:pPr>
              <w:jc w:val="center"/>
              <w:rPr>
                <w:rFonts w:ascii="宋体" w:hAnsi="宋体"/>
                <w:sz w:val="24"/>
                <w:szCs w:val="24"/>
              </w:rPr>
            </w:pPr>
            <w:r>
              <w:rPr>
                <w:rFonts w:ascii="宋体" w:hAnsi="宋体"/>
                <w:sz w:val="24"/>
                <w:szCs w:val="24"/>
              </w:rPr>
              <w:t>4</w:t>
            </w:r>
          </w:p>
        </w:tc>
        <w:tc>
          <w:tcPr>
            <w:tcW w:w="713" w:type="pct"/>
            <w:vAlign w:val="center"/>
          </w:tcPr>
          <w:p>
            <w:pPr>
              <w:rPr>
                <w:rFonts w:ascii="宋体" w:hAnsi="宋体"/>
                <w:sz w:val="24"/>
                <w:szCs w:val="24"/>
              </w:rPr>
            </w:pPr>
            <w:r>
              <w:rPr>
                <w:rFonts w:hint="eastAsia" w:ascii="宋体" w:hAnsi="宋体"/>
                <w:sz w:val="24"/>
                <w:szCs w:val="24"/>
              </w:rPr>
              <w:t>非居用户漏气情况</w:t>
            </w:r>
          </w:p>
        </w:tc>
        <w:tc>
          <w:tcPr>
            <w:tcW w:w="665" w:type="pct"/>
            <w:vAlign w:val="center"/>
          </w:tcPr>
          <w:p>
            <w:pPr>
              <w:rPr>
                <w:rFonts w:ascii="宋体" w:hAnsi="宋体"/>
                <w:sz w:val="24"/>
                <w:szCs w:val="24"/>
              </w:rPr>
            </w:pPr>
            <w:r>
              <w:rPr>
                <w:rFonts w:ascii="宋体" w:hAnsi="宋体"/>
                <w:sz w:val="24"/>
                <w:szCs w:val="24"/>
              </w:rPr>
              <w:t>　</w:t>
            </w:r>
          </w:p>
        </w:tc>
        <w:tc>
          <w:tcPr>
            <w:tcW w:w="665" w:type="pct"/>
            <w:vAlign w:val="center"/>
          </w:tcPr>
          <w:p>
            <w:pPr>
              <w:rPr>
                <w:rFonts w:ascii="宋体" w:hAnsi="宋体"/>
                <w:sz w:val="24"/>
                <w:szCs w:val="24"/>
              </w:rPr>
            </w:pPr>
            <w:r>
              <w:rPr>
                <w:rFonts w:ascii="宋体" w:hAnsi="宋体"/>
                <w:sz w:val="24"/>
                <w:szCs w:val="24"/>
              </w:rPr>
              <w:t>　</w:t>
            </w:r>
          </w:p>
        </w:tc>
        <w:tc>
          <w:tcPr>
            <w:tcW w:w="666" w:type="pct"/>
            <w:vAlign w:val="center"/>
          </w:tcPr>
          <w:p>
            <w:pPr>
              <w:rPr>
                <w:rFonts w:ascii="宋体" w:hAnsi="宋体"/>
                <w:sz w:val="24"/>
                <w:szCs w:val="24"/>
              </w:rPr>
            </w:pPr>
            <w:r>
              <w:rPr>
                <w:rFonts w:ascii="宋体" w:hAnsi="宋体"/>
                <w:sz w:val="24"/>
                <w:szCs w:val="24"/>
              </w:rPr>
              <w:t>　</w:t>
            </w:r>
          </w:p>
        </w:tc>
        <w:tc>
          <w:tcPr>
            <w:tcW w:w="665" w:type="pct"/>
            <w:vAlign w:val="center"/>
          </w:tcPr>
          <w:p>
            <w:pPr>
              <w:rPr>
                <w:rFonts w:ascii="宋体" w:hAnsi="宋体"/>
                <w:sz w:val="24"/>
                <w:szCs w:val="24"/>
              </w:rPr>
            </w:pPr>
            <w:r>
              <w:rPr>
                <w:rFonts w:ascii="宋体" w:hAnsi="宋体"/>
                <w:sz w:val="24"/>
                <w:szCs w:val="24"/>
              </w:rPr>
              <w:t>　</w:t>
            </w:r>
          </w:p>
        </w:tc>
        <w:tc>
          <w:tcPr>
            <w:tcW w:w="665" w:type="pct"/>
            <w:vAlign w:val="center"/>
          </w:tcPr>
          <w:p>
            <w:pPr>
              <w:rPr>
                <w:rFonts w:ascii="宋体" w:hAnsi="宋体"/>
                <w:sz w:val="24"/>
                <w:szCs w:val="24"/>
              </w:rPr>
            </w:pPr>
            <w:r>
              <w:rPr>
                <w:rFonts w:ascii="宋体" w:hAnsi="宋体"/>
                <w:sz w:val="24"/>
                <w:szCs w:val="24"/>
              </w:rPr>
              <w:t>　</w:t>
            </w:r>
          </w:p>
        </w:tc>
        <w:tc>
          <w:tcPr>
            <w:tcW w:w="666" w:type="pct"/>
            <w:vAlign w:val="center"/>
          </w:tcPr>
          <w:p>
            <w:pPr>
              <w:rPr>
                <w:rFonts w:ascii="宋体" w:hAnsi="宋体"/>
                <w:sz w:val="24"/>
                <w:szCs w:val="24"/>
              </w:rPr>
            </w:pPr>
            <w:r>
              <w:rPr>
                <w:rFonts w:ascii="宋体" w:hAnsi="宋体"/>
                <w:sz w:val="24"/>
                <w:szCs w:val="24"/>
              </w:rPr>
              <w:t>　</w:t>
            </w:r>
          </w:p>
        </w:tc>
      </w:tr>
    </w:tbl>
    <w:p>
      <w:pPr>
        <w:pStyle w:val="17"/>
        <w:spacing w:line="600" w:lineRule="exact"/>
        <w:ind w:firstLine="0" w:firstLineChars="0"/>
        <w:jc w:val="left"/>
        <w:rPr>
          <w:rFonts w:ascii="宋体" w:hAnsi="宋体"/>
          <w:sz w:val="24"/>
          <w:szCs w:val="24"/>
        </w:rPr>
      </w:pPr>
      <w:r>
        <w:rPr>
          <w:rFonts w:hint="eastAsia" w:ascii="宋体" w:hAnsi="宋体"/>
          <w:sz w:val="24"/>
          <w:szCs w:val="24"/>
        </w:rPr>
        <w:t>本表由燃气经营企业填报</w:t>
      </w:r>
    </w:p>
    <w:sectPr>
      <w:pgSz w:w="16838" w:h="11906" w:orient="landscape"/>
      <w:pgMar w:top="1418" w:right="1559" w:bottom="1418" w:left="158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仿宋_GB2312"/>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CD375"/>
    <w:multiLevelType w:val="singleLevel"/>
    <w:tmpl w:val="90DCD375"/>
    <w:lvl w:ilvl="0" w:tentative="0">
      <w:start w:val="1"/>
      <w:numFmt w:val="chineseCounting"/>
      <w:suff w:val="nothing"/>
      <w:lvlText w:val="（%1）"/>
      <w:lvlJc w:val="left"/>
      <w:rPr>
        <w:rFonts w:hint="eastAsia"/>
      </w:rPr>
    </w:lvl>
  </w:abstractNum>
  <w:abstractNum w:abstractNumId="1">
    <w:nsid w:val="4F3D396C"/>
    <w:multiLevelType w:val="singleLevel"/>
    <w:tmpl w:val="4F3D396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6E"/>
    <w:rsid w:val="00002D96"/>
    <w:rsid w:val="00017954"/>
    <w:rsid w:val="00024E11"/>
    <w:rsid w:val="00031296"/>
    <w:rsid w:val="00031E40"/>
    <w:rsid w:val="000346FB"/>
    <w:rsid w:val="000448F2"/>
    <w:rsid w:val="00046F24"/>
    <w:rsid w:val="000544CE"/>
    <w:rsid w:val="000646A3"/>
    <w:rsid w:val="00074A35"/>
    <w:rsid w:val="00081DB1"/>
    <w:rsid w:val="00090272"/>
    <w:rsid w:val="00091C7D"/>
    <w:rsid w:val="00096F20"/>
    <w:rsid w:val="00097D25"/>
    <w:rsid w:val="000A36FB"/>
    <w:rsid w:val="000B19A6"/>
    <w:rsid w:val="000C1218"/>
    <w:rsid w:val="000C6B15"/>
    <w:rsid w:val="000D51ED"/>
    <w:rsid w:val="000F0441"/>
    <w:rsid w:val="000F1F8F"/>
    <w:rsid w:val="00102AA3"/>
    <w:rsid w:val="00107A93"/>
    <w:rsid w:val="00122A65"/>
    <w:rsid w:val="00124473"/>
    <w:rsid w:val="00135316"/>
    <w:rsid w:val="0013740D"/>
    <w:rsid w:val="00142ADF"/>
    <w:rsid w:val="00143FC4"/>
    <w:rsid w:val="0015505C"/>
    <w:rsid w:val="00163B63"/>
    <w:rsid w:val="00164C4A"/>
    <w:rsid w:val="001650A0"/>
    <w:rsid w:val="00165914"/>
    <w:rsid w:val="001711E0"/>
    <w:rsid w:val="00172F45"/>
    <w:rsid w:val="001756CC"/>
    <w:rsid w:val="001834B4"/>
    <w:rsid w:val="00187A27"/>
    <w:rsid w:val="00192B2A"/>
    <w:rsid w:val="001941C9"/>
    <w:rsid w:val="00194CDE"/>
    <w:rsid w:val="001A174B"/>
    <w:rsid w:val="001B31C6"/>
    <w:rsid w:val="001B7DB7"/>
    <w:rsid w:val="001C159B"/>
    <w:rsid w:val="001D208D"/>
    <w:rsid w:val="001D39C1"/>
    <w:rsid w:val="001D429D"/>
    <w:rsid w:val="001D4BB0"/>
    <w:rsid w:val="001E2D69"/>
    <w:rsid w:val="001E6C43"/>
    <w:rsid w:val="002027CF"/>
    <w:rsid w:val="00214485"/>
    <w:rsid w:val="00221F67"/>
    <w:rsid w:val="00230375"/>
    <w:rsid w:val="00233946"/>
    <w:rsid w:val="00245F9B"/>
    <w:rsid w:val="00251684"/>
    <w:rsid w:val="00257F2D"/>
    <w:rsid w:val="002628DB"/>
    <w:rsid w:val="002730A9"/>
    <w:rsid w:val="00283A59"/>
    <w:rsid w:val="0029504A"/>
    <w:rsid w:val="002A086B"/>
    <w:rsid w:val="002A08C0"/>
    <w:rsid w:val="002A13BD"/>
    <w:rsid w:val="002A4880"/>
    <w:rsid w:val="002A4C23"/>
    <w:rsid w:val="002A5798"/>
    <w:rsid w:val="002C0768"/>
    <w:rsid w:val="002C07FD"/>
    <w:rsid w:val="002C082F"/>
    <w:rsid w:val="002C5A3C"/>
    <w:rsid w:val="002D0418"/>
    <w:rsid w:val="002D0E01"/>
    <w:rsid w:val="002D5522"/>
    <w:rsid w:val="002E1556"/>
    <w:rsid w:val="002F0448"/>
    <w:rsid w:val="002F4A69"/>
    <w:rsid w:val="002F6407"/>
    <w:rsid w:val="00300866"/>
    <w:rsid w:val="00303637"/>
    <w:rsid w:val="003232B7"/>
    <w:rsid w:val="003247D0"/>
    <w:rsid w:val="00327607"/>
    <w:rsid w:val="00331AFF"/>
    <w:rsid w:val="00332EDF"/>
    <w:rsid w:val="00352D0C"/>
    <w:rsid w:val="00356FD5"/>
    <w:rsid w:val="00360D44"/>
    <w:rsid w:val="00360F37"/>
    <w:rsid w:val="00364DD5"/>
    <w:rsid w:val="003710D1"/>
    <w:rsid w:val="00372AEB"/>
    <w:rsid w:val="00375B3D"/>
    <w:rsid w:val="00376F62"/>
    <w:rsid w:val="00383C24"/>
    <w:rsid w:val="003859B1"/>
    <w:rsid w:val="00392455"/>
    <w:rsid w:val="0039458E"/>
    <w:rsid w:val="003950E2"/>
    <w:rsid w:val="003B1C45"/>
    <w:rsid w:val="003B3956"/>
    <w:rsid w:val="003C53D9"/>
    <w:rsid w:val="003C7746"/>
    <w:rsid w:val="003D3814"/>
    <w:rsid w:val="003D4F99"/>
    <w:rsid w:val="003D73F6"/>
    <w:rsid w:val="003E0372"/>
    <w:rsid w:val="003E5904"/>
    <w:rsid w:val="003E60F9"/>
    <w:rsid w:val="003E62B5"/>
    <w:rsid w:val="003F2571"/>
    <w:rsid w:val="0040116D"/>
    <w:rsid w:val="00403F0A"/>
    <w:rsid w:val="00414CA2"/>
    <w:rsid w:val="00422B29"/>
    <w:rsid w:val="0043034D"/>
    <w:rsid w:val="0043173F"/>
    <w:rsid w:val="00433301"/>
    <w:rsid w:val="00445F15"/>
    <w:rsid w:val="004468F5"/>
    <w:rsid w:val="00460C36"/>
    <w:rsid w:val="0046651E"/>
    <w:rsid w:val="00472E01"/>
    <w:rsid w:val="004737AB"/>
    <w:rsid w:val="00476213"/>
    <w:rsid w:val="0048043B"/>
    <w:rsid w:val="004829FF"/>
    <w:rsid w:val="00482AEB"/>
    <w:rsid w:val="0048552F"/>
    <w:rsid w:val="00487553"/>
    <w:rsid w:val="004A3E57"/>
    <w:rsid w:val="004B4345"/>
    <w:rsid w:val="004C5D31"/>
    <w:rsid w:val="004C7033"/>
    <w:rsid w:val="004D5D02"/>
    <w:rsid w:val="004E39FE"/>
    <w:rsid w:val="004E6587"/>
    <w:rsid w:val="004F03BA"/>
    <w:rsid w:val="004F41B4"/>
    <w:rsid w:val="004F57B0"/>
    <w:rsid w:val="00501413"/>
    <w:rsid w:val="00501FD1"/>
    <w:rsid w:val="005134EE"/>
    <w:rsid w:val="00516E6A"/>
    <w:rsid w:val="0051795D"/>
    <w:rsid w:val="00517A1B"/>
    <w:rsid w:val="005243EB"/>
    <w:rsid w:val="00526957"/>
    <w:rsid w:val="005318F5"/>
    <w:rsid w:val="0053710C"/>
    <w:rsid w:val="0054426E"/>
    <w:rsid w:val="00545A27"/>
    <w:rsid w:val="005475F5"/>
    <w:rsid w:val="00547702"/>
    <w:rsid w:val="0055047F"/>
    <w:rsid w:val="005651D2"/>
    <w:rsid w:val="00565781"/>
    <w:rsid w:val="005670DA"/>
    <w:rsid w:val="00570D8C"/>
    <w:rsid w:val="005737CB"/>
    <w:rsid w:val="00587CD5"/>
    <w:rsid w:val="0059663A"/>
    <w:rsid w:val="00596F23"/>
    <w:rsid w:val="005A429A"/>
    <w:rsid w:val="005B5DAB"/>
    <w:rsid w:val="005B6FC4"/>
    <w:rsid w:val="005C7793"/>
    <w:rsid w:val="005D1B65"/>
    <w:rsid w:val="005D1D7B"/>
    <w:rsid w:val="005D458C"/>
    <w:rsid w:val="005D4740"/>
    <w:rsid w:val="005D690A"/>
    <w:rsid w:val="005D6E38"/>
    <w:rsid w:val="005E171F"/>
    <w:rsid w:val="005E1C08"/>
    <w:rsid w:val="005E648E"/>
    <w:rsid w:val="005E7D12"/>
    <w:rsid w:val="005F761C"/>
    <w:rsid w:val="00604760"/>
    <w:rsid w:val="00607D1D"/>
    <w:rsid w:val="00610CE6"/>
    <w:rsid w:val="00613605"/>
    <w:rsid w:val="0061647C"/>
    <w:rsid w:val="0062199C"/>
    <w:rsid w:val="0062517B"/>
    <w:rsid w:val="00627D0C"/>
    <w:rsid w:val="0063001C"/>
    <w:rsid w:val="00645D77"/>
    <w:rsid w:val="006478C3"/>
    <w:rsid w:val="00651BFA"/>
    <w:rsid w:val="00661E51"/>
    <w:rsid w:val="0066619C"/>
    <w:rsid w:val="00666614"/>
    <w:rsid w:val="0067092F"/>
    <w:rsid w:val="006733EC"/>
    <w:rsid w:val="00676A56"/>
    <w:rsid w:val="0068228A"/>
    <w:rsid w:val="006A653B"/>
    <w:rsid w:val="006A7381"/>
    <w:rsid w:val="006B14EF"/>
    <w:rsid w:val="006B59BC"/>
    <w:rsid w:val="006D1DAF"/>
    <w:rsid w:val="006E02D9"/>
    <w:rsid w:val="006E228F"/>
    <w:rsid w:val="006F31B6"/>
    <w:rsid w:val="006F41B0"/>
    <w:rsid w:val="006F5C20"/>
    <w:rsid w:val="007108F9"/>
    <w:rsid w:val="007119BD"/>
    <w:rsid w:val="00747D28"/>
    <w:rsid w:val="00751AD6"/>
    <w:rsid w:val="0075265D"/>
    <w:rsid w:val="0076160E"/>
    <w:rsid w:val="00763FD4"/>
    <w:rsid w:val="007653E9"/>
    <w:rsid w:val="007752DA"/>
    <w:rsid w:val="007857FA"/>
    <w:rsid w:val="00790898"/>
    <w:rsid w:val="00794F8F"/>
    <w:rsid w:val="007A22B0"/>
    <w:rsid w:val="007A37F2"/>
    <w:rsid w:val="007C1B4A"/>
    <w:rsid w:val="007C5FB7"/>
    <w:rsid w:val="007E3706"/>
    <w:rsid w:val="007E7B34"/>
    <w:rsid w:val="007F3A1C"/>
    <w:rsid w:val="007F459C"/>
    <w:rsid w:val="007F635C"/>
    <w:rsid w:val="00800E16"/>
    <w:rsid w:val="00801586"/>
    <w:rsid w:val="00807E33"/>
    <w:rsid w:val="00813A45"/>
    <w:rsid w:val="008233F6"/>
    <w:rsid w:val="00824593"/>
    <w:rsid w:val="008255E9"/>
    <w:rsid w:val="008262E7"/>
    <w:rsid w:val="00826DD2"/>
    <w:rsid w:val="00830CA8"/>
    <w:rsid w:val="00831E96"/>
    <w:rsid w:val="00835268"/>
    <w:rsid w:val="00835B97"/>
    <w:rsid w:val="008364E4"/>
    <w:rsid w:val="00842084"/>
    <w:rsid w:val="008509FF"/>
    <w:rsid w:val="00852BDF"/>
    <w:rsid w:val="008532DC"/>
    <w:rsid w:val="00855107"/>
    <w:rsid w:val="008556FD"/>
    <w:rsid w:val="008631EF"/>
    <w:rsid w:val="0086796C"/>
    <w:rsid w:val="00880C53"/>
    <w:rsid w:val="00881A37"/>
    <w:rsid w:val="008842C1"/>
    <w:rsid w:val="00885A52"/>
    <w:rsid w:val="00891022"/>
    <w:rsid w:val="00891FB1"/>
    <w:rsid w:val="008A026C"/>
    <w:rsid w:val="008A2769"/>
    <w:rsid w:val="008A31C2"/>
    <w:rsid w:val="008A578D"/>
    <w:rsid w:val="008A70FC"/>
    <w:rsid w:val="008B503B"/>
    <w:rsid w:val="008B5410"/>
    <w:rsid w:val="008C3628"/>
    <w:rsid w:val="008E014E"/>
    <w:rsid w:val="008E6233"/>
    <w:rsid w:val="008E6F26"/>
    <w:rsid w:val="008F1D6D"/>
    <w:rsid w:val="008F47EF"/>
    <w:rsid w:val="00901CD5"/>
    <w:rsid w:val="00902EE6"/>
    <w:rsid w:val="009062F4"/>
    <w:rsid w:val="00914092"/>
    <w:rsid w:val="00916DBD"/>
    <w:rsid w:val="00920D33"/>
    <w:rsid w:val="00923D2B"/>
    <w:rsid w:val="009330F9"/>
    <w:rsid w:val="00934123"/>
    <w:rsid w:val="00937272"/>
    <w:rsid w:val="0094070F"/>
    <w:rsid w:val="0094120B"/>
    <w:rsid w:val="00944773"/>
    <w:rsid w:val="009473C4"/>
    <w:rsid w:val="00952A2C"/>
    <w:rsid w:val="00953F92"/>
    <w:rsid w:val="00954AF0"/>
    <w:rsid w:val="00954BE1"/>
    <w:rsid w:val="00965067"/>
    <w:rsid w:val="00972847"/>
    <w:rsid w:val="00991B4C"/>
    <w:rsid w:val="009952A0"/>
    <w:rsid w:val="00996A27"/>
    <w:rsid w:val="009A3100"/>
    <w:rsid w:val="009A6EC6"/>
    <w:rsid w:val="009B35E7"/>
    <w:rsid w:val="009C1CE3"/>
    <w:rsid w:val="009D2F41"/>
    <w:rsid w:val="009D4ABC"/>
    <w:rsid w:val="009D6351"/>
    <w:rsid w:val="009E2089"/>
    <w:rsid w:val="009F6DAE"/>
    <w:rsid w:val="00A01328"/>
    <w:rsid w:val="00A02222"/>
    <w:rsid w:val="00A11296"/>
    <w:rsid w:val="00A136E7"/>
    <w:rsid w:val="00A27683"/>
    <w:rsid w:val="00A44236"/>
    <w:rsid w:val="00A46644"/>
    <w:rsid w:val="00A46D1D"/>
    <w:rsid w:val="00A47B29"/>
    <w:rsid w:val="00A50A34"/>
    <w:rsid w:val="00A61DA4"/>
    <w:rsid w:val="00A63176"/>
    <w:rsid w:val="00A63958"/>
    <w:rsid w:val="00A65C44"/>
    <w:rsid w:val="00A70B15"/>
    <w:rsid w:val="00A71706"/>
    <w:rsid w:val="00A74C1B"/>
    <w:rsid w:val="00A74EA7"/>
    <w:rsid w:val="00A843CC"/>
    <w:rsid w:val="00A9176D"/>
    <w:rsid w:val="00A96347"/>
    <w:rsid w:val="00AB0901"/>
    <w:rsid w:val="00AB09C5"/>
    <w:rsid w:val="00AB5BC2"/>
    <w:rsid w:val="00AC3BEC"/>
    <w:rsid w:val="00AD0AA9"/>
    <w:rsid w:val="00AD3246"/>
    <w:rsid w:val="00AD5F6E"/>
    <w:rsid w:val="00AD7F39"/>
    <w:rsid w:val="00AE1ABD"/>
    <w:rsid w:val="00AF00F6"/>
    <w:rsid w:val="00AF396F"/>
    <w:rsid w:val="00AF43B1"/>
    <w:rsid w:val="00B0111B"/>
    <w:rsid w:val="00B16EC5"/>
    <w:rsid w:val="00B2358D"/>
    <w:rsid w:val="00B246C0"/>
    <w:rsid w:val="00B24C2B"/>
    <w:rsid w:val="00B2612E"/>
    <w:rsid w:val="00B263A7"/>
    <w:rsid w:val="00B30CC7"/>
    <w:rsid w:val="00B33DC0"/>
    <w:rsid w:val="00B3429B"/>
    <w:rsid w:val="00B41784"/>
    <w:rsid w:val="00B4365A"/>
    <w:rsid w:val="00B612D6"/>
    <w:rsid w:val="00B77CC8"/>
    <w:rsid w:val="00B77EAA"/>
    <w:rsid w:val="00B97974"/>
    <w:rsid w:val="00B97FFC"/>
    <w:rsid w:val="00BA0AEC"/>
    <w:rsid w:val="00BA5CA8"/>
    <w:rsid w:val="00BB05F2"/>
    <w:rsid w:val="00BB0BA3"/>
    <w:rsid w:val="00BB52FA"/>
    <w:rsid w:val="00BB6392"/>
    <w:rsid w:val="00BC1803"/>
    <w:rsid w:val="00BC28E1"/>
    <w:rsid w:val="00BC388A"/>
    <w:rsid w:val="00BC6A50"/>
    <w:rsid w:val="00BE52A4"/>
    <w:rsid w:val="00BF1E10"/>
    <w:rsid w:val="00BF2647"/>
    <w:rsid w:val="00BF7376"/>
    <w:rsid w:val="00C055A0"/>
    <w:rsid w:val="00C0644A"/>
    <w:rsid w:val="00C07CB4"/>
    <w:rsid w:val="00C148EA"/>
    <w:rsid w:val="00C15EDF"/>
    <w:rsid w:val="00C16FEA"/>
    <w:rsid w:val="00C238AE"/>
    <w:rsid w:val="00C262B1"/>
    <w:rsid w:val="00C27909"/>
    <w:rsid w:val="00C47B66"/>
    <w:rsid w:val="00C47DA7"/>
    <w:rsid w:val="00C50EFE"/>
    <w:rsid w:val="00C5310D"/>
    <w:rsid w:val="00C55BD7"/>
    <w:rsid w:val="00C569FC"/>
    <w:rsid w:val="00C62555"/>
    <w:rsid w:val="00C657AA"/>
    <w:rsid w:val="00C813D2"/>
    <w:rsid w:val="00C92F4B"/>
    <w:rsid w:val="00CA1D6A"/>
    <w:rsid w:val="00CA4F4C"/>
    <w:rsid w:val="00CA5AF5"/>
    <w:rsid w:val="00CA708A"/>
    <w:rsid w:val="00CB446A"/>
    <w:rsid w:val="00CB500C"/>
    <w:rsid w:val="00CC23F5"/>
    <w:rsid w:val="00CC45BE"/>
    <w:rsid w:val="00CD0602"/>
    <w:rsid w:val="00CE010E"/>
    <w:rsid w:val="00CE18E9"/>
    <w:rsid w:val="00D06EE6"/>
    <w:rsid w:val="00D11FE7"/>
    <w:rsid w:val="00D24731"/>
    <w:rsid w:val="00D33B0C"/>
    <w:rsid w:val="00D408B3"/>
    <w:rsid w:val="00D44E30"/>
    <w:rsid w:val="00D462C8"/>
    <w:rsid w:val="00D5160B"/>
    <w:rsid w:val="00D54886"/>
    <w:rsid w:val="00D56ABC"/>
    <w:rsid w:val="00D616C9"/>
    <w:rsid w:val="00D6295F"/>
    <w:rsid w:val="00D6340C"/>
    <w:rsid w:val="00D63466"/>
    <w:rsid w:val="00D72DCA"/>
    <w:rsid w:val="00D8002B"/>
    <w:rsid w:val="00D81744"/>
    <w:rsid w:val="00D859E6"/>
    <w:rsid w:val="00D905C3"/>
    <w:rsid w:val="00D9117C"/>
    <w:rsid w:val="00D951F7"/>
    <w:rsid w:val="00DB170E"/>
    <w:rsid w:val="00DB2C2D"/>
    <w:rsid w:val="00DB6A95"/>
    <w:rsid w:val="00DB74AD"/>
    <w:rsid w:val="00DC25A9"/>
    <w:rsid w:val="00DC372B"/>
    <w:rsid w:val="00DC56D4"/>
    <w:rsid w:val="00DC5EA7"/>
    <w:rsid w:val="00DC62A3"/>
    <w:rsid w:val="00DD2CBD"/>
    <w:rsid w:val="00DD450B"/>
    <w:rsid w:val="00DE1D21"/>
    <w:rsid w:val="00DE2D1C"/>
    <w:rsid w:val="00DE5A6F"/>
    <w:rsid w:val="00DF14C0"/>
    <w:rsid w:val="00DF29C0"/>
    <w:rsid w:val="00DF63AC"/>
    <w:rsid w:val="00DF7C1F"/>
    <w:rsid w:val="00E006BD"/>
    <w:rsid w:val="00E04DD0"/>
    <w:rsid w:val="00E11BA3"/>
    <w:rsid w:val="00E12583"/>
    <w:rsid w:val="00E141C1"/>
    <w:rsid w:val="00E15824"/>
    <w:rsid w:val="00E204A0"/>
    <w:rsid w:val="00E21E4D"/>
    <w:rsid w:val="00E2223B"/>
    <w:rsid w:val="00E23225"/>
    <w:rsid w:val="00E25EB0"/>
    <w:rsid w:val="00E3710C"/>
    <w:rsid w:val="00E37F13"/>
    <w:rsid w:val="00E4125F"/>
    <w:rsid w:val="00E46A08"/>
    <w:rsid w:val="00E47033"/>
    <w:rsid w:val="00E519E8"/>
    <w:rsid w:val="00E56DD7"/>
    <w:rsid w:val="00E57BEF"/>
    <w:rsid w:val="00E7668E"/>
    <w:rsid w:val="00E76A93"/>
    <w:rsid w:val="00E76D19"/>
    <w:rsid w:val="00E77473"/>
    <w:rsid w:val="00EB1898"/>
    <w:rsid w:val="00EB350B"/>
    <w:rsid w:val="00EB61B4"/>
    <w:rsid w:val="00EC004E"/>
    <w:rsid w:val="00EC09E3"/>
    <w:rsid w:val="00ED309A"/>
    <w:rsid w:val="00ED62FF"/>
    <w:rsid w:val="00EE542A"/>
    <w:rsid w:val="00EF0CEA"/>
    <w:rsid w:val="00EF1C73"/>
    <w:rsid w:val="00EF64A3"/>
    <w:rsid w:val="00F139D7"/>
    <w:rsid w:val="00F14634"/>
    <w:rsid w:val="00F15A36"/>
    <w:rsid w:val="00F16517"/>
    <w:rsid w:val="00F3549E"/>
    <w:rsid w:val="00F41C26"/>
    <w:rsid w:val="00F41CAE"/>
    <w:rsid w:val="00F505F3"/>
    <w:rsid w:val="00F50CEB"/>
    <w:rsid w:val="00F53EA4"/>
    <w:rsid w:val="00F64130"/>
    <w:rsid w:val="00F870EE"/>
    <w:rsid w:val="00F90ECB"/>
    <w:rsid w:val="00FA2C38"/>
    <w:rsid w:val="00FA47A0"/>
    <w:rsid w:val="00FA5C1A"/>
    <w:rsid w:val="00FA6799"/>
    <w:rsid w:val="00FA6AB8"/>
    <w:rsid w:val="00FB0F70"/>
    <w:rsid w:val="00FB7062"/>
    <w:rsid w:val="00FC1CF6"/>
    <w:rsid w:val="00FC1F37"/>
    <w:rsid w:val="00FC713C"/>
    <w:rsid w:val="00FD0C06"/>
    <w:rsid w:val="00FE0D5A"/>
    <w:rsid w:val="00FE2B42"/>
    <w:rsid w:val="00FF159E"/>
    <w:rsid w:val="01C8206C"/>
    <w:rsid w:val="01DA1918"/>
    <w:rsid w:val="01FC2908"/>
    <w:rsid w:val="02032DB1"/>
    <w:rsid w:val="02436C07"/>
    <w:rsid w:val="02A52361"/>
    <w:rsid w:val="02C3623C"/>
    <w:rsid w:val="02EE0412"/>
    <w:rsid w:val="02EE0667"/>
    <w:rsid w:val="0302516A"/>
    <w:rsid w:val="0333165D"/>
    <w:rsid w:val="0388432C"/>
    <w:rsid w:val="038A24C9"/>
    <w:rsid w:val="03B81C19"/>
    <w:rsid w:val="03E94E10"/>
    <w:rsid w:val="041D5E2C"/>
    <w:rsid w:val="048D13F9"/>
    <w:rsid w:val="04A22765"/>
    <w:rsid w:val="04CE0B80"/>
    <w:rsid w:val="04DC1198"/>
    <w:rsid w:val="04F24AB7"/>
    <w:rsid w:val="05055706"/>
    <w:rsid w:val="056706EC"/>
    <w:rsid w:val="05994BED"/>
    <w:rsid w:val="059C3863"/>
    <w:rsid w:val="05E273C3"/>
    <w:rsid w:val="061013B1"/>
    <w:rsid w:val="06254D79"/>
    <w:rsid w:val="062E0EF6"/>
    <w:rsid w:val="0633075C"/>
    <w:rsid w:val="063D6B30"/>
    <w:rsid w:val="06663B0D"/>
    <w:rsid w:val="06936CF4"/>
    <w:rsid w:val="06B443F5"/>
    <w:rsid w:val="07000794"/>
    <w:rsid w:val="075B7072"/>
    <w:rsid w:val="075D1E8A"/>
    <w:rsid w:val="07665C66"/>
    <w:rsid w:val="078D60DF"/>
    <w:rsid w:val="07A10CE4"/>
    <w:rsid w:val="081E4653"/>
    <w:rsid w:val="084306D1"/>
    <w:rsid w:val="0866395D"/>
    <w:rsid w:val="08A73686"/>
    <w:rsid w:val="08D6533C"/>
    <w:rsid w:val="09000679"/>
    <w:rsid w:val="091C4A61"/>
    <w:rsid w:val="09353433"/>
    <w:rsid w:val="094405FB"/>
    <w:rsid w:val="09626321"/>
    <w:rsid w:val="09725D16"/>
    <w:rsid w:val="09966E24"/>
    <w:rsid w:val="09A91375"/>
    <w:rsid w:val="09AC07E5"/>
    <w:rsid w:val="0A2D0695"/>
    <w:rsid w:val="0A3202A3"/>
    <w:rsid w:val="0A776AD3"/>
    <w:rsid w:val="0A9C2276"/>
    <w:rsid w:val="0A9E5BC5"/>
    <w:rsid w:val="0AE46B3C"/>
    <w:rsid w:val="0B4F490D"/>
    <w:rsid w:val="0B5D65D7"/>
    <w:rsid w:val="0BC875B0"/>
    <w:rsid w:val="0C2B6CA2"/>
    <w:rsid w:val="0C3779F7"/>
    <w:rsid w:val="0C454181"/>
    <w:rsid w:val="0C654CE6"/>
    <w:rsid w:val="0CA642F4"/>
    <w:rsid w:val="0CD20870"/>
    <w:rsid w:val="0CDF6792"/>
    <w:rsid w:val="0CF2122B"/>
    <w:rsid w:val="0D4557BD"/>
    <w:rsid w:val="0D8A0B4C"/>
    <w:rsid w:val="0D8E620F"/>
    <w:rsid w:val="0DB37122"/>
    <w:rsid w:val="0DC93FF5"/>
    <w:rsid w:val="0DD63EF7"/>
    <w:rsid w:val="0DD64AD7"/>
    <w:rsid w:val="0DF15BC2"/>
    <w:rsid w:val="0E2C0B59"/>
    <w:rsid w:val="0E543760"/>
    <w:rsid w:val="0E89709A"/>
    <w:rsid w:val="0E8F7B5F"/>
    <w:rsid w:val="0EAC592F"/>
    <w:rsid w:val="0EC8499F"/>
    <w:rsid w:val="0EF47867"/>
    <w:rsid w:val="0F087AC2"/>
    <w:rsid w:val="0F264BF6"/>
    <w:rsid w:val="0F2A3131"/>
    <w:rsid w:val="0F385292"/>
    <w:rsid w:val="0FD54FF9"/>
    <w:rsid w:val="0FF81CCB"/>
    <w:rsid w:val="0FF935B7"/>
    <w:rsid w:val="102E77D0"/>
    <w:rsid w:val="10517DE0"/>
    <w:rsid w:val="10585803"/>
    <w:rsid w:val="108B439E"/>
    <w:rsid w:val="1096301E"/>
    <w:rsid w:val="109F68A3"/>
    <w:rsid w:val="11090600"/>
    <w:rsid w:val="110B6776"/>
    <w:rsid w:val="11115F7E"/>
    <w:rsid w:val="11172EC2"/>
    <w:rsid w:val="117E02AE"/>
    <w:rsid w:val="11844451"/>
    <w:rsid w:val="119D7478"/>
    <w:rsid w:val="120415A7"/>
    <w:rsid w:val="12090A3D"/>
    <w:rsid w:val="12200785"/>
    <w:rsid w:val="12822499"/>
    <w:rsid w:val="12BD2DB4"/>
    <w:rsid w:val="12E80AB6"/>
    <w:rsid w:val="138B25ED"/>
    <w:rsid w:val="13CA143B"/>
    <w:rsid w:val="13EA1FB0"/>
    <w:rsid w:val="13EB4D58"/>
    <w:rsid w:val="14116D3D"/>
    <w:rsid w:val="146671C8"/>
    <w:rsid w:val="146A3C7A"/>
    <w:rsid w:val="14774CE4"/>
    <w:rsid w:val="149A7A8E"/>
    <w:rsid w:val="14AF70CF"/>
    <w:rsid w:val="14CE2478"/>
    <w:rsid w:val="14F128EC"/>
    <w:rsid w:val="15066333"/>
    <w:rsid w:val="151B3E47"/>
    <w:rsid w:val="154B77C9"/>
    <w:rsid w:val="15B513C5"/>
    <w:rsid w:val="15BA379C"/>
    <w:rsid w:val="15CD6AC9"/>
    <w:rsid w:val="15D71AE3"/>
    <w:rsid w:val="15E471D5"/>
    <w:rsid w:val="1604436E"/>
    <w:rsid w:val="160F2285"/>
    <w:rsid w:val="164C709C"/>
    <w:rsid w:val="166B212B"/>
    <w:rsid w:val="167C412C"/>
    <w:rsid w:val="16804A62"/>
    <w:rsid w:val="168B5D47"/>
    <w:rsid w:val="17196FEC"/>
    <w:rsid w:val="1722743A"/>
    <w:rsid w:val="172F2D38"/>
    <w:rsid w:val="17475FDB"/>
    <w:rsid w:val="17822F02"/>
    <w:rsid w:val="17C705AC"/>
    <w:rsid w:val="17CD61B6"/>
    <w:rsid w:val="17F827F8"/>
    <w:rsid w:val="181D1141"/>
    <w:rsid w:val="18261217"/>
    <w:rsid w:val="1832403B"/>
    <w:rsid w:val="184B770B"/>
    <w:rsid w:val="186E53CC"/>
    <w:rsid w:val="18965687"/>
    <w:rsid w:val="189B7C20"/>
    <w:rsid w:val="18B51CFC"/>
    <w:rsid w:val="18FA4EE0"/>
    <w:rsid w:val="19906304"/>
    <w:rsid w:val="199A6D03"/>
    <w:rsid w:val="1A0B081A"/>
    <w:rsid w:val="1A1907D8"/>
    <w:rsid w:val="1A3E4D48"/>
    <w:rsid w:val="1A4F0471"/>
    <w:rsid w:val="1A797336"/>
    <w:rsid w:val="1AC17C80"/>
    <w:rsid w:val="1B037B9F"/>
    <w:rsid w:val="1B797BE7"/>
    <w:rsid w:val="1BE24FB4"/>
    <w:rsid w:val="1C500946"/>
    <w:rsid w:val="1C637B57"/>
    <w:rsid w:val="1C6B3A43"/>
    <w:rsid w:val="1C6E7ACF"/>
    <w:rsid w:val="1C7F2B8D"/>
    <w:rsid w:val="1C947050"/>
    <w:rsid w:val="1CBB09C6"/>
    <w:rsid w:val="1CD36E95"/>
    <w:rsid w:val="1CE33153"/>
    <w:rsid w:val="1CEF4980"/>
    <w:rsid w:val="1D037313"/>
    <w:rsid w:val="1D13747D"/>
    <w:rsid w:val="1D3A6D2D"/>
    <w:rsid w:val="1D3B51BC"/>
    <w:rsid w:val="1D57370B"/>
    <w:rsid w:val="1DCB7F56"/>
    <w:rsid w:val="1DD0088F"/>
    <w:rsid w:val="1DD37F85"/>
    <w:rsid w:val="1DEF71D7"/>
    <w:rsid w:val="1DF52B73"/>
    <w:rsid w:val="1E050AEB"/>
    <w:rsid w:val="1E127932"/>
    <w:rsid w:val="1E312D2B"/>
    <w:rsid w:val="1E7C51AF"/>
    <w:rsid w:val="1EA65D13"/>
    <w:rsid w:val="1ED527E4"/>
    <w:rsid w:val="1F107CA9"/>
    <w:rsid w:val="1F1E1C07"/>
    <w:rsid w:val="1F714FB6"/>
    <w:rsid w:val="1FE8144C"/>
    <w:rsid w:val="1FF15005"/>
    <w:rsid w:val="200028AA"/>
    <w:rsid w:val="20604DE9"/>
    <w:rsid w:val="20630DD9"/>
    <w:rsid w:val="20673536"/>
    <w:rsid w:val="20E64798"/>
    <w:rsid w:val="215E29E4"/>
    <w:rsid w:val="217155AF"/>
    <w:rsid w:val="2181605C"/>
    <w:rsid w:val="21EA704A"/>
    <w:rsid w:val="21FA7501"/>
    <w:rsid w:val="225B7E52"/>
    <w:rsid w:val="22AC7A7B"/>
    <w:rsid w:val="22C22851"/>
    <w:rsid w:val="22C67680"/>
    <w:rsid w:val="22CF180D"/>
    <w:rsid w:val="22E976F3"/>
    <w:rsid w:val="22F44610"/>
    <w:rsid w:val="23046B27"/>
    <w:rsid w:val="235E3C78"/>
    <w:rsid w:val="239D3529"/>
    <w:rsid w:val="242F7BFA"/>
    <w:rsid w:val="24416E1E"/>
    <w:rsid w:val="24436FBB"/>
    <w:rsid w:val="24716FE1"/>
    <w:rsid w:val="24A044A5"/>
    <w:rsid w:val="24B2644F"/>
    <w:rsid w:val="24BE51D4"/>
    <w:rsid w:val="24D5132B"/>
    <w:rsid w:val="24D87011"/>
    <w:rsid w:val="24E21785"/>
    <w:rsid w:val="254530F2"/>
    <w:rsid w:val="25617B49"/>
    <w:rsid w:val="25E9521E"/>
    <w:rsid w:val="26431158"/>
    <w:rsid w:val="26733B01"/>
    <w:rsid w:val="2696407E"/>
    <w:rsid w:val="26AE4B9C"/>
    <w:rsid w:val="26BA474A"/>
    <w:rsid w:val="276E4387"/>
    <w:rsid w:val="277A1B0B"/>
    <w:rsid w:val="277A5FF8"/>
    <w:rsid w:val="2787426E"/>
    <w:rsid w:val="278B1EE5"/>
    <w:rsid w:val="278C0AE6"/>
    <w:rsid w:val="2798295C"/>
    <w:rsid w:val="27A61A52"/>
    <w:rsid w:val="27CB6E30"/>
    <w:rsid w:val="27DC2EE9"/>
    <w:rsid w:val="282625C8"/>
    <w:rsid w:val="282B7A66"/>
    <w:rsid w:val="284E148F"/>
    <w:rsid w:val="2885567D"/>
    <w:rsid w:val="28873ACE"/>
    <w:rsid w:val="28D92A7F"/>
    <w:rsid w:val="28DF68AC"/>
    <w:rsid w:val="290A76B9"/>
    <w:rsid w:val="292867B6"/>
    <w:rsid w:val="29350AEC"/>
    <w:rsid w:val="293F078D"/>
    <w:rsid w:val="29422DEF"/>
    <w:rsid w:val="29ED195F"/>
    <w:rsid w:val="29F40FB4"/>
    <w:rsid w:val="2A0F32D7"/>
    <w:rsid w:val="2A766F37"/>
    <w:rsid w:val="2ABC46F7"/>
    <w:rsid w:val="2AC801EA"/>
    <w:rsid w:val="2AEA163A"/>
    <w:rsid w:val="2AFF19A6"/>
    <w:rsid w:val="2B065586"/>
    <w:rsid w:val="2B281021"/>
    <w:rsid w:val="2B477D47"/>
    <w:rsid w:val="2B4B74D0"/>
    <w:rsid w:val="2B696A33"/>
    <w:rsid w:val="2B6D795C"/>
    <w:rsid w:val="2B7E5631"/>
    <w:rsid w:val="2B8F0D04"/>
    <w:rsid w:val="2B94652B"/>
    <w:rsid w:val="2BD9761C"/>
    <w:rsid w:val="2BEA25C9"/>
    <w:rsid w:val="2C2071F5"/>
    <w:rsid w:val="2C6715BA"/>
    <w:rsid w:val="2CC97A86"/>
    <w:rsid w:val="2CF354FB"/>
    <w:rsid w:val="2D1953A2"/>
    <w:rsid w:val="2D5B6091"/>
    <w:rsid w:val="2D8D4994"/>
    <w:rsid w:val="2D8D7613"/>
    <w:rsid w:val="2DA03BE8"/>
    <w:rsid w:val="2DA95128"/>
    <w:rsid w:val="2DB10330"/>
    <w:rsid w:val="2E351EE2"/>
    <w:rsid w:val="2E7C05B7"/>
    <w:rsid w:val="2E907421"/>
    <w:rsid w:val="2EFD01B3"/>
    <w:rsid w:val="2F142C15"/>
    <w:rsid w:val="2F1F34A3"/>
    <w:rsid w:val="2F435E2F"/>
    <w:rsid w:val="2F870770"/>
    <w:rsid w:val="2FA16798"/>
    <w:rsid w:val="2FC647D5"/>
    <w:rsid w:val="30300770"/>
    <w:rsid w:val="303B4105"/>
    <w:rsid w:val="305E6BB7"/>
    <w:rsid w:val="30DF3416"/>
    <w:rsid w:val="30F05762"/>
    <w:rsid w:val="313F1E45"/>
    <w:rsid w:val="31596EFC"/>
    <w:rsid w:val="317655CC"/>
    <w:rsid w:val="318C0A95"/>
    <w:rsid w:val="319D5034"/>
    <w:rsid w:val="31BF1E27"/>
    <w:rsid w:val="3218091A"/>
    <w:rsid w:val="32394277"/>
    <w:rsid w:val="327163C7"/>
    <w:rsid w:val="32B04EED"/>
    <w:rsid w:val="32D2559E"/>
    <w:rsid w:val="32E61A2B"/>
    <w:rsid w:val="32EB46BB"/>
    <w:rsid w:val="332262E8"/>
    <w:rsid w:val="333B7186"/>
    <w:rsid w:val="339D0CED"/>
    <w:rsid w:val="33B34903"/>
    <w:rsid w:val="33DB5E68"/>
    <w:rsid w:val="3409619C"/>
    <w:rsid w:val="340D6601"/>
    <w:rsid w:val="341C36BF"/>
    <w:rsid w:val="34405C8C"/>
    <w:rsid w:val="344E0382"/>
    <w:rsid w:val="346A258D"/>
    <w:rsid w:val="34AF4A24"/>
    <w:rsid w:val="34B51E45"/>
    <w:rsid w:val="34C90CC6"/>
    <w:rsid w:val="34CE07A6"/>
    <w:rsid w:val="34D027F2"/>
    <w:rsid w:val="350B227D"/>
    <w:rsid w:val="3513489E"/>
    <w:rsid w:val="351B54B4"/>
    <w:rsid w:val="35287A07"/>
    <w:rsid w:val="359D3404"/>
    <w:rsid w:val="360407A7"/>
    <w:rsid w:val="360456FE"/>
    <w:rsid w:val="363C1E87"/>
    <w:rsid w:val="364D767D"/>
    <w:rsid w:val="36550934"/>
    <w:rsid w:val="365526C4"/>
    <w:rsid w:val="36EB66D3"/>
    <w:rsid w:val="36F04366"/>
    <w:rsid w:val="36F51C8E"/>
    <w:rsid w:val="37157A3B"/>
    <w:rsid w:val="37337C77"/>
    <w:rsid w:val="376C7E15"/>
    <w:rsid w:val="377419CD"/>
    <w:rsid w:val="3780288B"/>
    <w:rsid w:val="37A01290"/>
    <w:rsid w:val="37CA69E3"/>
    <w:rsid w:val="37D60B37"/>
    <w:rsid w:val="37D878D4"/>
    <w:rsid w:val="37FB14ED"/>
    <w:rsid w:val="38026A80"/>
    <w:rsid w:val="389611FC"/>
    <w:rsid w:val="38AC0E45"/>
    <w:rsid w:val="38C31511"/>
    <w:rsid w:val="38C962AC"/>
    <w:rsid w:val="39125386"/>
    <w:rsid w:val="393F706B"/>
    <w:rsid w:val="39735F34"/>
    <w:rsid w:val="39BE008B"/>
    <w:rsid w:val="39CA5D23"/>
    <w:rsid w:val="39FE162A"/>
    <w:rsid w:val="3A203C0C"/>
    <w:rsid w:val="3A4C7B5B"/>
    <w:rsid w:val="3A5D4355"/>
    <w:rsid w:val="3A5D6777"/>
    <w:rsid w:val="3A8D0CB9"/>
    <w:rsid w:val="3ADC1C7A"/>
    <w:rsid w:val="3AEF5651"/>
    <w:rsid w:val="3B061C00"/>
    <w:rsid w:val="3B0E1071"/>
    <w:rsid w:val="3B1C4134"/>
    <w:rsid w:val="3B4A0050"/>
    <w:rsid w:val="3B5B08D3"/>
    <w:rsid w:val="3B775AFF"/>
    <w:rsid w:val="3B9A1C8B"/>
    <w:rsid w:val="3BA90FE8"/>
    <w:rsid w:val="3BC9558A"/>
    <w:rsid w:val="3BCD3BF4"/>
    <w:rsid w:val="3BE82484"/>
    <w:rsid w:val="3BFB330D"/>
    <w:rsid w:val="3C201A38"/>
    <w:rsid w:val="3C25690E"/>
    <w:rsid w:val="3C445D18"/>
    <w:rsid w:val="3C6D50AF"/>
    <w:rsid w:val="3C8D35CC"/>
    <w:rsid w:val="3C932A57"/>
    <w:rsid w:val="3CF0697F"/>
    <w:rsid w:val="3D0B5AA3"/>
    <w:rsid w:val="3D657328"/>
    <w:rsid w:val="3D6B3EDC"/>
    <w:rsid w:val="3DCE167F"/>
    <w:rsid w:val="3DEC52E8"/>
    <w:rsid w:val="3E1E786D"/>
    <w:rsid w:val="3E4348B8"/>
    <w:rsid w:val="3E58652C"/>
    <w:rsid w:val="3E5B1225"/>
    <w:rsid w:val="3E824B7D"/>
    <w:rsid w:val="3EA05EC3"/>
    <w:rsid w:val="3EAE033F"/>
    <w:rsid w:val="3F066423"/>
    <w:rsid w:val="3F163D5F"/>
    <w:rsid w:val="3F383962"/>
    <w:rsid w:val="3F5B297E"/>
    <w:rsid w:val="3F6541A0"/>
    <w:rsid w:val="3F6C650C"/>
    <w:rsid w:val="3FA51A0E"/>
    <w:rsid w:val="3FC40E56"/>
    <w:rsid w:val="3FE13FBA"/>
    <w:rsid w:val="3FE91DA6"/>
    <w:rsid w:val="402F16AF"/>
    <w:rsid w:val="414313FA"/>
    <w:rsid w:val="4144061D"/>
    <w:rsid w:val="41480B4D"/>
    <w:rsid w:val="416A757E"/>
    <w:rsid w:val="41873CD4"/>
    <w:rsid w:val="41A81C70"/>
    <w:rsid w:val="422617BA"/>
    <w:rsid w:val="42292576"/>
    <w:rsid w:val="42C90BC8"/>
    <w:rsid w:val="4304051B"/>
    <w:rsid w:val="43265351"/>
    <w:rsid w:val="4326677E"/>
    <w:rsid w:val="432F3E90"/>
    <w:rsid w:val="432F5111"/>
    <w:rsid w:val="433E2C5F"/>
    <w:rsid w:val="434C7D11"/>
    <w:rsid w:val="43860735"/>
    <w:rsid w:val="438A46C3"/>
    <w:rsid w:val="43972608"/>
    <w:rsid w:val="4399798A"/>
    <w:rsid w:val="43F050D6"/>
    <w:rsid w:val="441A0DD1"/>
    <w:rsid w:val="441C7F7B"/>
    <w:rsid w:val="44CC7288"/>
    <w:rsid w:val="453304B4"/>
    <w:rsid w:val="45440081"/>
    <w:rsid w:val="456C0D08"/>
    <w:rsid w:val="457B0F40"/>
    <w:rsid w:val="459C1C27"/>
    <w:rsid w:val="45E43B64"/>
    <w:rsid w:val="45E653D7"/>
    <w:rsid w:val="46054770"/>
    <w:rsid w:val="461063FE"/>
    <w:rsid w:val="461578E8"/>
    <w:rsid w:val="46361311"/>
    <w:rsid w:val="465F75FF"/>
    <w:rsid w:val="468243A4"/>
    <w:rsid w:val="468D2CC8"/>
    <w:rsid w:val="46935830"/>
    <w:rsid w:val="46BA6F2A"/>
    <w:rsid w:val="46D56DF0"/>
    <w:rsid w:val="46E60839"/>
    <w:rsid w:val="46FC1C7C"/>
    <w:rsid w:val="47176F05"/>
    <w:rsid w:val="47486E76"/>
    <w:rsid w:val="47570C47"/>
    <w:rsid w:val="475A45EA"/>
    <w:rsid w:val="47885470"/>
    <w:rsid w:val="47A80127"/>
    <w:rsid w:val="47DB5E30"/>
    <w:rsid w:val="47DF5CCF"/>
    <w:rsid w:val="47E3286C"/>
    <w:rsid w:val="48112325"/>
    <w:rsid w:val="4854670D"/>
    <w:rsid w:val="4864615C"/>
    <w:rsid w:val="487917DE"/>
    <w:rsid w:val="48976DC9"/>
    <w:rsid w:val="48D4315D"/>
    <w:rsid w:val="48D4615F"/>
    <w:rsid w:val="48F748E8"/>
    <w:rsid w:val="48FF3037"/>
    <w:rsid w:val="492B4D8F"/>
    <w:rsid w:val="492D6C11"/>
    <w:rsid w:val="4965196A"/>
    <w:rsid w:val="4990297E"/>
    <w:rsid w:val="49A8444F"/>
    <w:rsid w:val="49AB0F19"/>
    <w:rsid w:val="49E33378"/>
    <w:rsid w:val="4A1E42FE"/>
    <w:rsid w:val="4A262F1B"/>
    <w:rsid w:val="4A404647"/>
    <w:rsid w:val="4A455300"/>
    <w:rsid w:val="4A4970DC"/>
    <w:rsid w:val="4ABB2BB7"/>
    <w:rsid w:val="4AE55A8D"/>
    <w:rsid w:val="4B2D519C"/>
    <w:rsid w:val="4B4B6329"/>
    <w:rsid w:val="4BBF1C5E"/>
    <w:rsid w:val="4C245F07"/>
    <w:rsid w:val="4C661C56"/>
    <w:rsid w:val="4CB00E6E"/>
    <w:rsid w:val="4D1A3ED2"/>
    <w:rsid w:val="4D893A99"/>
    <w:rsid w:val="4DDA3265"/>
    <w:rsid w:val="4E3656C6"/>
    <w:rsid w:val="4E9E7157"/>
    <w:rsid w:val="4ECF11D7"/>
    <w:rsid w:val="4EE15ACC"/>
    <w:rsid w:val="4F0D53F0"/>
    <w:rsid w:val="4F1670F6"/>
    <w:rsid w:val="4F3E47F6"/>
    <w:rsid w:val="4F645CC1"/>
    <w:rsid w:val="4F8E15E7"/>
    <w:rsid w:val="4FA74AD2"/>
    <w:rsid w:val="4FD46988"/>
    <w:rsid w:val="4FE57B70"/>
    <w:rsid w:val="504B7E67"/>
    <w:rsid w:val="50520AD5"/>
    <w:rsid w:val="50AB0F02"/>
    <w:rsid w:val="50CB0F54"/>
    <w:rsid w:val="50E414CC"/>
    <w:rsid w:val="50F4162F"/>
    <w:rsid w:val="51143F81"/>
    <w:rsid w:val="511935A5"/>
    <w:rsid w:val="512C0F09"/>
    <w:rsid w:val="516236DD"/>
    <w:rsid w:val="51E46950"/>
    <w:rsid w:val="52041ABB"/>
    <w:rsid w:val="520A2A74"/>
    <w:rsid w:val="52207BF5"/>
    <w:rsid w:val="523B072A"/>
    <w:rsid w:val="52401A9B"/>
    <w:rsid w:val="52973E18"/>
    <w:rsid w:val="529A05E6"/>
    <w:rsid w:val="52CC53EA"/>
    <w:rsid w:val="52CF55A6"/>
    <w:rsid w:val="52D911D8"/>
    <w:rsid w:val="52F44783"/>
    <w:rsid w:val="530733F5"/>
    <w:rsid w:val="53215E07"/>
    <w:rsid w:val="53873631"/>
    <w:rsid w:val="53C958B8"/>
    <w:rsid w:val="53CD5D53"/>
    <w:rsid w:val="53CE4CF4"/>
    <w:rsid w:val="543E7D68"/>
    <w:rsid w:val="54446F32"/>
    <w:rsid w:val="54B67EEA"/>
    <w:rsid w:val="54D71603"/>
    <w:rsid w:val="553C33AB"/>
    <w:rsid w:val="55434588"/>
    <w:rsid w:val="558E0868"/>
    <w:rsid w:val="56233EAC"/>
    <w:rsid w:val="56405D10"/>
    <w:rsid w:val="568F45FC"/>
    <w:rsid w:val="56B233A4"/>
    <w:rsid w:val="56B478A9"/>
    <w:rsid w:val="56CB7B22"/>
    <w:rsid w:val="56F82CA1"/>
    <w:rsid w:val="571D0A1D"/>
    <w:rsid w:val="57561464"/>
    <w:rsid w:val="57AB4705"/>
    <w:rsid w:val="57F034F2"/>
    <w:rsid w:val="57F949AF"/>
    <w:rsid w:val="57FF4312"/>
    <w:rsid w:val="5838468E"/>
    <w:rsid w:val="5852492E"/>
    <w:rsid w:val="586D3537"/>
    <w:rsid w:val="58852889"/>
    <w:rsid w:val="58BE6EA3"/>
    <w:rsid w:val="58D564B2"/>
    <w:rsid w:val="592C27D3"/>
    <w:rsid w:val="59624C0F"/>
    <w:rsid w:val="59890697"/>
    <w:rsid w:val="59941088"/>
    <w:rsid w:val="5994276B"/>
    <w:rsid w:val="59DE28EC"/>
    <w:rsid w:val="59DE5708"/>
    <w:rsid w:val="5A124F88"/>
    <w:rsid w:val="5A3A7196"/>
    <w:rsid w:val="5A6C5CFC"/>
    <w:rsid w:val="5AC96BE0"/>
    <w:rsid w:val="5B0A65AA"/>
    <w:rsid w:val="5B156F1C"/>
    <w:rsid w:val="5B330EC5"/>
    <w:rsid w:val="5B434210"/>
    <w:rsid w:val="5B7436EB"/>
    <w:rsid w:val="5BA238BC"/>
    <w:rsid w:val="5BA40330"/>
    <w:rsid w:val="5BA71F6B"/>
    <w:rsid w:val="5BBE16B9"/>
    <w:rsid w:val="5BEB53B3"/>
    <w:rsid w:val="5BFF6349"/>
    <w:rsid w:val="5C1E0E8E"/>
    <w:rsid w:val="5C362ECD"/>
    <w:rsid w:val="5C7B072C"/>
    <w:rsid w:val="5CAD1F8A"/>
    <w:rsid w:val="5D162C9F"/>
    <w:rsid w:val="5D1778A8"/>
    <w:rsid w:val="5D1A7ACF"/>
    <w:rsid w:val="5D5F60D4"/>
    <w:rsid w:val="5DAA32EE"/>
    <w:rsid w:val="5E71126D"/>
    <w:rsid w:val="5F106493"/>
    <w:rsid w:val="5F286D7E"/>
    <w:rsid w:val="5F5519C4"/>
    <w:rsid w:val="5FDA6BD3"/>
    <w:rsid w:val="5FFD1F88"/>
    <w:rsid w:val="601A4EA3"/>
    <w:rsid w:val="608E3ADA"/>
    <w:rsid w:val="60FC5B3A"/>
    <w:rsid w:val="613843C1"/>
    <w:rsid w:val="61595A09"/>
    <w:rsid w:val="618332A8"/>
    <w:rsid w:val="61C14411"/>
    <w:rsid w:val="6231571C"/>
    <w:rsid w:val="62473FF7"/>
    <w:rsid w:val="624C13C8"/>
    <w:rsid w:val="62720303"/>
    <w:rsid w:val="62E11399"/>
    <w:rsid w:val="632D1E9E"/>
    <w:rsid w:val="634B4FF8"/>
    <w:rsid w:val="639215AC"/>
    <w:rsid w:val="63E3162F"/>
    <w:rsid w:val="640C0AC4"/>
    <w:rsid w:val="645741C5"/>
    <w:rsid w:val="64907F1E"/>
    <w:rsid w:val="64C45644"/>
    <w:rsid w:val="64E73725"/>
    <w:rsid w:val="6500401A"/>
    <w:rsid w:val="650F523C"/>
    <w:rsid w:val="6570284C"/>
    <w:rsid w:val="65EF2F35"/>
    <w:rsid w:val="66020CC1"/>
    <w:rsid w:val="662240AC"/>
    <w:rsid w:val="6629205C"/>
    <w:rsid w:val="66BC013A"/>
    <w:rsid w:val="66D15179"/>
    <w:rsid w:val="67992D43"/>
    <w:rsid w:val="680F0F1F"/>
    <w:rsid w:val="68634850"/>
    <w:rsid w:val="68704FAB"/>
    <w:rsid w:val="68780833"/>
    <w:rsid w:val="69744561"/>
    <w:rsid w:val="6A6C00AA"/>
    <w:rsid w:val="6A790634"/>
    <w:rsid w:val="6AAC2BEE"/>
    <w:rsid w:val="6ABB3781"/>
    <w:rsid w:val="6B1B39E2"/>
    <w:rsid w:val="6B28512E"/>
    <w:rsid w:val="6B775338"/>
    <w:rsid w:val="6BB86C68"/>
    <w:rsid w:val="6BF41A2E"/>
    <w:rsid w:val="6BFE6398"/>
    <w:rsid w:val="6C9A5D9F"/>
    <w:rsid w:val="6D236D9E"/>
    <w:rsid w:val="6D6F2F56"/>
    <w:rsid w:val="6DA944D4"/>
    <w:rsid w:val="6E381ABB"/>
    <w:rsid w:val="6E3F389C"/>
    <w:rsid w:val="6EB1660D"/>
    <w:rsid w:val="6ED74E66"/>
    <w:rsid w:val="6F2D393B"/>
    <w:rsid w:val="6FEF54AD"/>
    <w:rsid w:val="701A3C27"/>
    <w:rsid w:val="70AE1BD7"/>
    <w:rsid w:val="70C622AE"/>
    <w:rsid w:val="70E95C98"/>
    <w:rsid w:val="7158591D"/>
    <w:rsid w:val="71641290"/>
    <w:rsid w:val="71A940D9"/>
    <w:rsid w:val="71C611B3"/>
    <w:rsid w:val="71E3614B"/>
    <w:rsid w:val="71FF00B9"/>
    <w:rsid w:val="724278F4"/>
    <w:rsid w:val="725D22DB"/>
    <w:rsid w:val="728E6ABC"/>
    <w:rsid w:val="72A01F55"/>
    <w:rsid w:val="72A60C66"/>
    <w:rsid w:val="72CB3EF2"/>
    <w:rsid w:val="72D069E5"/>
    <w:rsid w:val="72D85EE2"/>
    <w:rsid w:val="72EC7929"/>
    <w:rsid w:val="73261133"/>
    <w:rsid w:val="73654A24"/>
    <w:rsid w:val="739E0415"/>
    <w:rsid w:val="73DE4281"/>
    <w:rsid w:val="74327928"/>
    <w:rsid w:val="74375CC3"/>
    <w:rsid w:val="743D54DA"/>
    <w:rsid w:val="748100DC"/>
    <w:rsid w:val="74B8086D"/>
    <w:rsid w:val="74E86566"/>
    <w:rsid w:val="750453EF"/>
    <w:rsid w:val="753679C5"/>
    <w:rsid w:val="7570162A"/>
    <w:rsid w:val="75D96A3B"/>
    <w:rsid w:val="75EE53E8"/>
    <w:rsid w:val="76255367"/>
    <w:rsid w:val="76607FDF"/>
    <w:rsid w:val="7663551C"/>
    <w:rsid w:val="7674053C"/>
    <w:rsid w:val="768314A3"/>
    <w:rsid w:val="76926FE8"/>
    <w:rsid w:val="76A8658C"/>
    <w:rsid w:val="775E3314"/>
    <w:rsid w:val="7784433A"/>
    <w:rsid w:val="77AC65D0"/>
    <w:rsid w:val="77AE67EF"/>
    <w:rsid w:val="77D55ECF"/>
    <w:rsid w:val="780D46E8"/>
    <w:rsid w:val="78192E5E"/>
    <w:rsid w:val="781A3A6C"/>
    <w:rsid w:val="78553074"/>
    <w:rsid w:val="787E1A22"/>
    <w:rsid w:val="790E644B"/>
    <w:rsid w:val="790F728D"/>
    <w:rsid w:val="7938477B"/>
    <w:rsid w:val="795969BB"/>
    <w:rsid w:val="796C20C4"/>
    <w:rsid w:val="79A3063A"/>
    <w:rsid w:val="79A62026"/>
    <w:rsid w:val="79F57118"/>
    <w:rsid w:val="7A302B29"/>
    <w:rsid w:val="7A7A2472"/>
    <w:rsid w:val="7A8C4A3E"/>
    <w:rsid w:val="7A8D4D22"/>
    <w:rsid w:val="7AE53FCA"/>
    <w:rsid w:val="7AE570ED"/>
    <w:rsid w:val="7AEC37BE"/>
    <w:rsid w:val="7B2F3A44"/>
    <w:rsid w:val="7B347BF3"/>
    <w:rsid w:val="7B5E597C"/>
    <w:rsid w:val="7B5F3193"/>
    <w:rsid w:val="7C1776E8"/>
    <w:rsid w:val="7C1F2DFE"/>
    <w:rsid w:val="7C49558C"/>
    <w:rsid w:val="7C5938AD"/>
    <w:rsid w:val="7C8E750C"/>
    <w:rsid w:val="7C9F2843"/>
    <w:rsid w:val="7CBB2C14"/>
    <w:rsid w:val="7CC67549"/>
    <w:rsid w:val="7CDB1DA0"/>
    <w:rsid w:val="7D194FE3"/>
    <w:rsid w:val="7D3665E5"/>
    <w:rsid w:val="7D5F4499"/>
    <w:rsid w:val="7D601FD8"/>
    <w:rsid w:val="7DAD3C26"/>
    <w:rsid w:val="7DAD6CC7"/>
    <w:rsid w:val="7DB24B28"/>
    <w:rsid w:val="7DBDCF6D"/>
    <w:rsid w:val="7DDE59E9"/>
    <w:rsid w:val="7DF5A7C0"/>
    <w:rsid w:val="7E2A40B7"/>
    <w:rsid w:val="7E5A1108"/>
    <w:rsid w:val="7E5B19EF"/>
    <w:rsid w:val="7E7718B0"/>
    <w:rsid w:val="7EA1292A"/>
    <w:rsid w:val="7EA47794"/>
    <w:rsid w:val="7EE873D7"/>
    <w:rsid w:val="7EF116E8"/>
    <w:rsid w:val="7F126C37"/>
    <w:rsid w:val="7F1A06CC"/>
    <w:rsid w:val="7F4F078B"/>
    <w:rsid w:val="7F504BA3"/>
    <w:rsid w:val="7F5B4EDB"/>
    <w:rsid w:val="7F7DC2CF"/>
    <w:rsid w:val="7FAB58BD"/>
    <w:rsid w:val="7FCC07CB"/>
    <w:rsid w:val="7FF43B57"/>
    <w:rsid w:val="AF5F17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Emphasis"/>
    <w:qFormat/>
    <w:uiPriority w:val="20"/>
    <w:rPr>
      <w:i/>
      <w:iCs/>
    </w:rPr>
  </w:style>
  <w:style w:type="character" w:styleId="12">
    <w:name w:val="Hyperlink"/>
    <w:unhideWhenUsed/>
    <w:qFormat/>
    <w:uiPriority w:val="99"/>
    <w:rPr>
      <w:color w:val="0000FF"/>
      <w:u w:val="single"/>
    </w:rPr>
  </w:style>
  <w:style w:type="character" w:styleId="13">
    <w:name w:val="annotation reference"/>
    <w:semiHidden/>
    <w:unhideWhenUsed/>
    <w:qFormat/>
    <w:uiPriority w:val="99"/>
    <w:rPr>
      <w:sz w:val="21"/>
      <w:szCs w:val="21"/>
    </w:rPr>
  </w:style>
  <w:style w:type="character" w:customStyle="1" w:styleId="14">
    <w:name w:val="标题 3 字符"/>
    <w:link w:val="2"/>
    <w:qFormat/>
    <w:uiPriority w:val="9"/>
    <w:rPr>
      <w:rFonts w:ascii="宋体" w:hAnsi="宋体" w:cs="宋体"/>
      <w:b/>
      <w:bCs/>
      <w:sz w:val="27"/>
      <w:szCs w:val="27"/>
    </w:rPr>
  </w:style>
  <w:style w:type="character" w:customStyle="1" w:styleId="15">
    <w:name w:val="页脚 字符"/>
    <w:link w:val="5"/>
    <w:qFormat/>
    <w:uiPriority w:val="99"/>
    <w:rPr>
      <w:kern w:val="2"/>
      <w:sz w:val="18"/>
      <w:szCs w:val="18"/>
    </w:rPr>
  </w:style>
  <w:style w:type="character" w:customStyle="1" w:styleId="16">
    <w:name w:val="页眉 字符"/>
    <w:link w:val="6"/>
    <w:semiHidden/>
    <w:qFormat/>
    <w:uiPriority w:val="99"/>
    <w:rPr>
      <w:kern w:val="2"/>
      <w:sz w:val="18"/>
      <w:szCs w:val="18"/>
    </w:rPr>
  </w:style>
  <w:style w:type="paragraph" w:customStyle="1" w:styleId="17">
    <w:name w:val="列出段落1"/>
    <w:basedOn w:val="1"/>
    <w:qFormat/>
    <w:uiPriority w:val="34"/>
    <w:pPr>
      <w:ind w:firstLine="420" w:firstLineChars="200"/>
    </w:pPr>
    <w:rPr>
      <w:rFonts w:ascii="Calibri" w:hAnsi="Calibri"/>
    </w:rPr>
  </w:style>
  <w:style w:type="character" w:customStyle="1" w:styleId="18">
    <w:name w:val="apple-converted-space"/>
    <w:qFormat/>
    <w:uiPriority w:val="0"/>
  </w:style>
  <w:style w:type="character" w:customStyle="1" w:styleId="19">
    <w:name w:val="批注文字 字符"/>
    <w:link w:val="3"/>
    <w:qFormat/>
    <w:uiPriority w:val="99"/>
    <w:rPr>
      <w:kern w:val="2"/>
      <w:sz w:val="21"/>
      <w:szCs w:val="22"/>
    </w:rPr>
  </w:style>
  <w:style w:type="character" w:customStyle="1" w:styleId="20">
    <w:name w:val="批注框文本 字符"/>
    <w:link w:val="4"/>
    <w:semiHidden/>
    <w:qFormat/>
    <w:uiPriority w:val="99"/>
    <w:rPr>
      <w:kern w:val="2"/>
      <w:sz w:val="18"/>
      <w:szCs w:val="18"/>
    </w:rPr>
  </w:style>
  <w:style w:type="paragraph" w:customStyle="1" w:styleId="21">
    <w:name w:val="修订1"/>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9</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2022-01-01T02:21:00Z</dcterms:created>
  <dc:creator>韩金峰:办公室领导审批</dc:creator>
  <cp:lastModifiedBy>黄晓蓉:套红</cp:lastModifiedBy>
  <cp:lastPrinted>2022-01-04T14:54:12Z</cp:lastPrinted>
  <dcterms:modified xsi:type="dcterms:W3CDTF">2022-01-04T14:55:05Z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