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附件2</w:t>
      </w:r>
    </w:p>
    <w:p>
      <w:pPr>
        <w:widowControl/>
        <w:shd w:val="clear" w:color="auto" w:fill="FFFFFF"/>
        <w:snapToGrid w:val="0"/>
        <w:spacing w:line="560" w:lineRule="exact"/>
        <w:ind w:firstLine="721" w:firstLineChars="200"/>
        <w:jc w:val="center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综合评估法二</w:t>
      </w:r>
    </w:p>
    <w:p>
      <w:pPr>
        <w:widowControl/>
        <w:shd w:val="clear" w:color="auto" w:fill="FFFFFF"/>
        <w:snapToGrid w:val="0"/>
        <w:spacing w:line="560" w:lineRule="exact"/>
        <w:ind w:firstLine="721" w:firstLineChars="200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一、总则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综合评估法二采用二阶段开评标，入围方式为全部入围。在工程总承包方案（含设计方案、施工方案）和工程总承包报价评审都通过的投标人中，以工程总承包报价最低的投标人为第一中标候选人。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如有勘察、货物、设备采购方案均包含在工程总承包方案中。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二、资格预审（如采用）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按本办法第七条规定进行。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三、开评标程序</w:t>
      </w:r>
    </w:p>
    <w:p>
      <w:pPr>
        <w:widowControl/>
        <w:shd w:val="clear" w:color="auto" w:fill="FFFFFF"/>
        <w:snapToGrid w:val="0"/>
        <w:spacing w:line="560" w:lineRule="exact"/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（一）第一阶段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1、投标截止时间前，工程总承包方案文件和工程总承包报价文件同时递交；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2、开启工程总承包方案文件，封存工程总承包报价文件；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3、招标人如采用方案分析的，可按本办法第八条规定进行；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4、评标委员会的技术专家对工程总承包方案文件进行评审。</w:t>
      </w:r>
    </w:p>
    <w:p>
      <w:pPr>
        <w:widowControl/>
        <w:shd w:val="clear" w:color="auto" w:fill="FFFFFF"/>
        <w:snapToGrid w:val="0"/>
        <w:spacing w:line="560" w:lineRule="exact"/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（二）第二阶段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1、开启封存的工程总承包报价文件；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2、评标委员会的经济专家对工程总承包报价文件进行评审，并对工程总承包方案和工程总承包报价的得分进行汇总。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四、初步评审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评标委员会根据否决投标条款进行初步评审，并出具否决投标决议，未被否决的投标人才能进入后续评审。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五、方案详细评审（30分）</w:t>
      </w:r>
    </w:p>
    <w:p>
      <w:pPr>
        <w:widowControl/>
        <w:shd w:val="clear" w:color="auto" w:fill="FFFFFF"/>
        <w:snapToGrid w:val="0"/>
        <w:spacing w:line="560" w:lineRule="exact"/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（一）</w:t>
      </w:r>
      <w:r>
        <w:rPr>
          <w:rFonts w:hint="eastAsia" w:ascii="楷体" w:hAnsi="楷体" w:eastAsia="楷体"/>
          <w:b/>
          <w:sz w:val="32"/>
          <w:szCs w:val="32"/>
        </w:rPr>
        <w:t>方案分析报告评审（如有）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评标委员会对方案分析报告进行评审，判定其工程总承包方案不合格的，不再进行后续评审。</w:t>
      </w:r>
    </w:p>
    <w:p>
      <w:pPr>
        <w:widowControl/>
        <w:shd w:val="clear" w:color="auto" w:fill="FFFFFF"/>
        <w:snapToGrid w:val="0"/>
        <w:spacing w:line="560" w:lineRule="exact"/>
        <w:ind w:firstLine="630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（二）设计方案评审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设计方案按百分制进行评审（评审因素详见附件3），分值区间为35-70分，以各评标委员会成员的评审分值进行算术平均，得出设计方案得分A。</w:t>
      </w:r>
    </w:p>
    <w:p>
      <w:pPr>
        <w:widowControl/>
        <w:shd w:val="clear" w:color="auto" w:fill="FFFFFF"/>
        <w:snapToGrid w:val="0"/>
        <w:spacing w:line="560" w:lineRule="exact"/>
        <w:ind w:firstLine="630" w:firstLineChars="196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（三）施工方案评审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施工方案按百分制进行评审（评审因素详见附件3），分值区间为15-30分，以各评标委员会成员的评审分值进行算术平均，得出施工方案得分B。</w:t>
      </w:r>
    </w:p>
    <w:p>
      <w:pPr>
        <w:widowControl/>
        <w:shd w:val="clear" w:color="auto" w:fill="FFFFFF"/>
        <w:snapToGrid w:val="0"/>
        <w:spacing w:line="560" w:lineRule="exact"/>
        <w:ind w:firstLine="643" w:firstLineChars="200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（四）工程总承包方案得分计算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工程总承包方案得分C=A+B， C≥N分（N取值范围在60-80分之间，具体由招标人根据项目实际情况在招标文件中明确）的投标人为通过工程总承包方案评审。工程总承包方案评审合格的投标人才能进入工程总承包报价评审。</w:t>
      </w:r>
    </w:p>
    <w:p>
      <w:pPr>
        <w:widowControl/>
        <w:shd w:val="clear" w:color="auto" w:fill="FFFFFF"/>
        <w:snapToGrid w:val="0"/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六、工程总承包报价评审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评标委员会对工程总承包报价进行评审，判断其报价组成的合理性，以工程总承包报价最低的投标人为第一中标候选人，次低的为第二中标候选人，依此类推。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43163"/>
    <w:rsid w:val="31B4316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jw-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2018-11-21T07:23:00Z</dcterms:created>
  <dc:creator>zjw-pc</dc:creator>
  <cp:lastModifiedBy>zjw-pc</cp:lastModifiedBy>
  <dcterms:modified xsi:type="dcterms:W3CDTF">2018-11-21T07:24:06Z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