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FC" w:rsidRPr="00213319" w:rsidRDefault="000418FC" w:rsidP="000418FC">
      <w:pPr>
        <w:widowControl/>
        <w:spacing w:before="100" w:beforeAutospacing="1" w:after="100" w:afterAutospacing="1"/>
        <w:rPr>
          <w:rFonts w:ascii="仿宋_GB2312" w:eastAsia="仿宋_GB2312" w:hAnsi="华文中宋" w:cs="宋体" w:hint="eastAsia"/>
          <w:b/>
          <w:kern w:val="0"/>
          <w:sz w:val="28"/>
          <w:szCs w:val="28"/>
        </w:rPr>
      </w:pPr>
      <w:r>
        <w:rPr>
          <w:rFonts w:ascii="仿宋_GB2312" w:eastAsia="仿宋_GB2312" w:hAnsi="华文中宋" w:cs="宋体" w:hint="eastAsia"/>
          <w:b/>
          <w:kern w:val="0"/>
          <w:sz w:val="28"/>
          <w:szCs w:val="28"/>
        </w:rPr>
        <w:t>附件4</w:t>
      </w:r>
      <w:r w:rsidRPr="00213319">
        <w:rPr>
          <w:rFonts w:ascii="仿宋_GB2312" w:eastAsia="仿宋_GB2312" w:hAnsi="华文中宋" w:cs="宋体" w:hint="eastAsia"/>
          <w:b/>
          <w:kern w:val="0"/>
          <w:sz w:val="28"/>
          <w:szCs w:val="28"/>
        </w:rPr>
        <w:t>：</w:t>
      </w:r>
    </w:p>
    <w:p w:rsidR="000418FC" w:rsidRPr="004520CA" w:rsidRDefault="000418FC" w:rsidP="000418FC">
      <w:pPr>
        <w:snapToGrid w:val="0"/>
        <w:outlineLvl w:val="0"/>
        <w:rPr>
          <w:rFonts w:ascii="仿宋_GB2312" w:eastAsia="仿宋_GB2312" w:hAnsi="宋体" w:hint="eastAsia"/>
          <w:sz w:val="44"/>
          <w:szCs w:val="44"/>
        </w:rPr>
      </w:pPr>
    </w:p>
    <w:p w:rsidR="000418FC" w:rsidRPr="004520CA" w:rsidRDefault="000418FC" w:rsidP="000418FC">
      <w:pPr>
        <w:snapToGrid w:val="0"/>
        <w:jc w:val="center"/>
        <w:outlineLvl w:val="0"/>
        <w:rPr>
          <w:rFonts w:ascii="仿宋_GB2312" w:eastAsia="仿宋_GB2312" w:hAnsi="宋体" w:hint="eastAsia"/>
          <w:b/>
          <w:sz w:val="44"/>
          <w:szCs w:val="20"/>
        </w:rPr>
      </w:pPr>
      <w:r w:rsidRPr="004520CA">
        <w:rPr>
          <w:rFonts w:ascii="仿宋_GB2312" w:eastAsia="仿宋_GB2312" w:hAnsi="宋体" w:hint="eastAsia"/>
          <w:b/>
          <w:sz w:val="44"/>
          <w:szCs w:val="20"/>
        </w:rPr>
        <w:t>上海市国有土地上</w:t>
      </w:r>
      <w:r>
        <w:rPr>
          <w:rFonts w:ascii="仿宋_GB2312" w:eastAsia="仿宋_GB2312" w:hAnsi="宋体" w:hint="eastAsia"/>
          <w:b/>
          <w:sz w:val="44"/>
          <w:szCs w:val="20"/>
        </w:rPr>
        <w:t>居住</w:t>
      </w:r>
      <w:r w:rsidRPr="004520CA">
        <w:rPr>
          <w:rFonts w:ascii="仿宋_GB2312" w:eastAsia="仿宋_GB2312" w:hAnsi="宋体" w:hint="eastAsia"/>
          <w:b/>
          <w:sz w:val="44"/>
          <w:szCs w:val="20"/>
        </w:rPr>
        <w:t>房屋征收评估</w:t>
      </w:r>
    </w:p>
    <w:p w:rsidR="000418FC" w:rsidRDefault="000418FC" w:rsidP="000418FC">
      <w:pPr>
        <w:snapToGrid w:val="0"/>
        <w:jc w:val="center"/>
        <w:outlineLvl w:val="0"/>
        <w:rPr>
          <w:rFonts w:ascii="仿宋_GB2312" w:eastAsia="仿宋_GB2312" w:hAnsi="宋体" w:hint="eastAsia"/>
          <w:b/>
          <w:sz w:val="44"/>
          <w:szCs w:val="20"/>
        </w:rPr>
      </w:pPr>
      <w:r w:rsidRPr="004520CA">
        <w:rPr>
          <w:rFonts w:ascii="仿宋_GB2312" w:eastAsia="仿宋_GB2312" w:hAnsi="宋体" w:hint="eastAsia"/>
          <w:b/>
          <w:sz w:val="44"/>
          <w:szCs w:val="20"/>
        </w:rPr>
        <w:t>分户报告</w:t>
      </w:r>
    </w:p>
    <w:p w:rsidR="000418FC" w:rsidRPr="00AD2AED" w:rsidRDefault="000418FC" w:rsidP="000418FC">
      <w:pPr>
        <w:snapToGrid w:val="0"/>
        <w:jc w:val="center"/>
        <w:outlineLvl w:val="0"/>
        <w:rPr>
          <w:rFonts w:ascii="仿宋_GB2312" w:eastAsia="仿宋_GB2312" w:hAnsi="宋体" w:hint="eastAsia"/>
          <w:sz w:val="30"/>
          <w:szCs w:val="30"/>
        </w:rPr>
      </w:pPr>
      <w:r w:rsidRPr="00AD2AED">
        <w:rPr>
          <w:rFonts w:ascii="仿宋_GB2312" w:eastAsia="仿宋_GB2312" w:hAnsi="宋体" w:hint="eastAsia"/>
          <w:sz w:val="30"/>
          <w:szCs w:val="30"/>
        </w:rPr>
        <w:t>（示范文本）</w:t>
      </w:r>
    </w:p>
    <w:p w:rsidR="000418FC" w:rsidRPr="004520CA" w:rsidRDefault="000418FC" w:rsidP="000418FC">
      <w:pPr>
        <w:snapToGrid w:val="0"/>
        <w:outlineLvl w:val="0"/>
        <w:rPr>
          <w:rFonts w:ascii="仿宋_GB2312" w:eastAsia="仿宋_GB2312" w:hAnsi="宋体" w:hint="eastAsia"/>
          <w:b/>
          <w:sz w:val="32"/>
        </w:rPr>
      </w:pPr>
    </w:p>
    <w:p w:rsidR="000418FC" w:rsidRPr="004520CA" w:rsidRDefault="000418FC" w:rsidP="000418FC">
      <w:pPr>
        <w:snapToGrid w:val="0"/>
        <w:outlineLvl w:val="0"/>
        <w:rPr>
          <w:rFonts w:ascii="仿宋_GB2312" w:eastAsia="仿宋_GB2312" w:hAnsi="宋体" w:hint="eastAsia"/>
          <w:b/>
          <w:sz w:val="32"/>
        </w:rPr>
      </w:pPr>
    </w:p>
    <w:p w:rsidR="000418FC" w:rsidRPr="004520CA" w:rsidRDefault="000418FC" w:rsidP="000418FC">
      <w:pPr>
        <w:snapToGrid w:val="0"/>
        <w:outlineLvl w:val="0"/>
        <w:rPr>
          <w:rFonts w:ascii="仿宋_GB2312" w:eastAsia="仿宋_GB2312" w:hAnsi="宋体" w:hint="eastAsia"/>
          <w:b/>
          <w:sz w:val="32"/>
        </w:rPr>
      </w:pPr>
    </w:p>
    <w:p w:rsidR="000418FC" w:rsidRPr="004520CA" w:rsidRDefault="000418FC" w:rsidP="000418FC">
      <w:pPr>
        <w:snapToGrid w:val="0"/>
        <w:outlineLvl w:val="0"/>
        <w:rPr>
          <w:rFonts w:ascii="仿宋_GB2312" w:eastAsia="仿宋_GB2312" w:hAnsi="宋体" w:hint="eastAsia"/>
          <w:b/>
          <w:sz w:val="32"/>
        </w:rPr>
      </w:pPr>
    </w:p>
    <w:p w:rsidR="000418FC"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房屋征收评估项目名称：</w:t>
      </w:r>
    </w:p>
    <w:p w:rsidR="000418FC" w:rsidRPr="00AD2AED" w:rsidRDefault="000418FC" w:rsidP="000418FC">
      <w:pPr>
        <w:snapToGrid w:val="0"/>
        <w:outlineLvl w:val="0"/>
        <w:rPr>
          <w:rFonts w:ascii="仿宋_GB2312" w:eastAsia="仿宋_GB2312" w:hAnsi="宋体" w:hint="eastAsia"/>
          <w:sz w:val="30"/>
          <w:szCs w:val="30"/>
        </w:rPr>
      </w:pPr>
    </w:p>
    <w:p w:rsidR="000418FC" w:rsidRPr="00AD2AED"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被征收房屋座落：</w:t>
      </w:r>
    </w:p>
    <w:p w:rsidR="000418FC" w:rsidRPr="00AD2AED" w:rsidRDefault="000418FC" w:rsidP="000418FC">
      <w:pPr>
        <w:snapToGrid w:val="0"/>
        <w:outlineLvl w:val="0"/>
        <w:rPr>
          <w:rFonts w:ascii="仿宋_GB2312" w:eastAsia="仿宋_GB2312" w:hAnsi="宋体" w:hint="eastAsia"/>
          <w:sz w:val="30"/>
          <w:szCs w:val="30"/>
        </w:rPr>
      </w:pPr>
    </w:p>
    <w:p w:rsidR="000418FC"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被征收人/</w:t>
      </w:r>
    </w:p>
    <w:p w:rsidR="000418FC" w:rsidRPr="00AD2AED"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公有住房承租人：</w:t>
      </w:r>
    </w:p>
    <w:p w:rsidR="000418FC" w:rsidRPr="00AD2AED" w:rsidRDefault="000418FC" w:rsidP="000418FC">
      <w:pPr>
        <w:snapToGrid w:val="0"/>
        <w:outlineLvl w:val="0"/>
        <w:rPr>
          <w:rFonts w:ascii="仿宋_GB2312" w:eastAsia="仿宋_GB2312" w:hAnsi="宋体" w:hint="eastAsia"/>
          <w:sz w:val="30"/>
          <w:szCs w:val="30"/>
        </w:rPr>
      </w:pPr>
    </w:p>
    <w:p w:rsidR="000418FC" w:rsidRPr="00AD2AED"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房屋征收部门：</w:t>
      </w:r>
    </w:p>
    <w:p w:rsidR="000418FC" w:rsidRPr="00AD2AED" w:rsidRDefault="000418FC" w:rsidP="000418FC">
      <w:pPr>
        <w:snapToGrid w:val="0"/>
        <w:outlineLvl w:val="0"/>
        <w:rPr>
          <w:rFonts w:ascii="仿宋_GB2312" w:eastAsia="仿宋_GB2312" w:hAnsi="宋体" w:hint="eastAsia"/>
          <w:sz w:val="30"/>
          <w:szCs w:val="30"/>
        </w:rPr>
      </w:pPr>
    </w:p>
    <w:p w:rsidR="000418FC" w:rsidRPr="00AD2AED" w:rsidRDefault="000418FC" w:rsidP="000418FC">
      <w:pPr>
        <w:snapToGrid w:val="0"/>
        <w:outlineLvl w:val="0"/>
        <w:rPr>
          <w:rFonts w:ascii="仿宋_GB2312" w:eastAsia="仿宋_GB2312" w:hAnsi="宋体" w:hint="eastAsia"/>
          <w:sz w:val="30"/>
          <w:szCs w:val="30"/>
        </w:rPr>
      </w:pPr>
      <w:r>
        <w:rPr>
          <w:rFonts w:ascii="仿宋_GB2312" w:eastAsia="仿宋_GB2312" w:hAnsi="宋体" w:hint="eastAsia"/>
          <w:sz w:val="30"/>
          <w:szCs w:val="30"/>
        </w:rPr>
        <w:t>房地产估价机构</w:t>
      </w:r>
      <w:r w:rsidRPr="00AD2AED">
        <w:rPr>
          <w:rFonts w:ascii="仿宋_GB2312" w:eastAsia="仿宋_GB2312" w:hAnsi="宋体" w:hint="eastAsia"/>
          <w:sz w:val="30"/>
          <w:szCs w:val="30"/>
        </w:rPr>
        <w:t>：</w:t>
      </w:r>
    </w:p>
    <w:p w:rsidR="000418FC" w:rsidRPr="00AD2AED" w:rsidRDefault="000418FC" w:rsidP="000418FC">
      <w:pPr>
        <w:snapToGrid w:val="0"/>
        <w:outlineLvl w:val="0"/>
        <w:rPr>
          <w:rFonts w:ascii="仿宋_GB2312" w:eastAsia="仿宋_GB2312" w:hAnsi="宋体" w:hint="eastAsia"/>
          <w:sz w:val="30"/>
          <w:szCs w:val="30"/>
        </w:rPr>
      </w:pPr>
    </w:p>
    <w:p w:rsidR="000418FC" w:rsidRDefault="000418FC" w:rsidP="000418FC">
      <w:pPr>
        <w:snapToGrid w:val="0"/>
        <w:outlineLvl w:val="0"/>
        <w:rPr>
          <w:rFonts w:ascii="仿宋_GB2312" w:eastAsia="仿宋_GB2312" w:hAnsi="宋体" w:hint="eastAsia"/>
          <w:sz w:val="30"/>
          <w:szCs w:val="30"/>
        </w:rPr>
      </w:pPr>
      <w:r w:rsidRPr="00AD2AED">
        <w:rPr>
          <w:rFonts w:ascii="仿宋_GB2312" w:eastAsia="仿宋_GB2312" w:hAnsi="宋体" w:hint="eastAsia"/>
          <w:sz w:val="30"/>
          <w:szCs w:val="30"/>
        </w:rPr>
        <w:t>分户报告编号：</w:t>
      </w:r>
    </w:p>
    <w:p w:rsidR="000418FC" w:rsidRDefault="000418FC" w:rsidP="000418FC">
      <w:pPr>
        <w:snapToGrid w:val="0"/>
        <w:outlineLvl w:val="0"/>
        <w:rPr>
          <w:rFonts w:ascii="仿宋_GB2312" w:eastAsia="仿宋_GB2312" w:hAnsi="宋体" w:hint="eastAsia"/>
          <w:sz w:val="30"/>
          <w:szCs w:val="30"/>
        </w:rPr>
      </w:pPr>
    </w:p>
    <w:p w:rsidR="000418FC" w:rsidRPr="00AD2AED" w:rsidRDefault="000418FC" w:rsidP="000418FC">
      <w:pPr>
        <w:snapToGrid w:val="0"/>
        <w:outlineLvl w:val="0"/>
        <w:rPr>
          <w:rFonts w:ascii="仿宋_GB2312" w:eastAsia="仿宋_GB2312" w:hAnsi="宋体" w:hint="eastAsia"/>
          <w:sz w:val="30"/>
          <w:szCs w:val="30"/>
        </w:rPr>
      </w:pPr>
      <w:r>
        <w:rPr>
          <w:rFonts w:ascii="仿宋_GB2312" w:eastAsia="仿宋_GB2312" w:hAnsi="宋体" w:hint="eastAsia"/>
          <w:sz w:val="30"/>
          <w:szCs w:val="30"/>
        </w:rPr>
        <w:t>分户报告出具日期：    年  月  日</w:t>
      </w:r>
    </w:p>
    <w:p w:rsidR="000418FC" w:rsidRPr="00AD2AED" w:rsidRDefault="000418FC" w:rsidP="000418FC">
      <w:pPr>
        <w:snapToGrid w:val="0"/>
        <w:outlineLvl w:val="0"/>
        <w:rPr>
          <w:rFonts w:ascii="仿宋_GB2312" w:eastAsia="仿宋_GB2312" w:hAnsi="宋体" w:hint="eastAsia"/>
          <w:b/>
          <w:sz w:val="30"/>
          <w:szCs w:val="30"/>
        </w:rPr>
      </w:pPr>
    </w:p>
    <w:p w:rsidR="000418FC" w:rsidRPr="004520CA" w:rsidRDefault="000418FC" w:rsidP="000418FC">
      <w:pPr>
        <w:snapToGrid w:val="0"/>
        <w:outlineLvl w:val="0"/>
        <w:rPr>
          <w:rFonts w:ascii="仿宋_GB2312" w:eastAsia="仿宋_GB2312" w:hAnsi="宋体" w:hint="eastAsia"/>
          <w:b/>
          <w:sz w:val="32"/>
        </w:rPr>
      </w:pPr>
    </w:p>
    <w:p w:rsidR="000418FC" w:rsidRPr="00AD2AED" w:rsidRDefault="000418FC" w:rsidP="000418FC">
      <w:pPr>
        <w:widowControl/>
        <w:jc w:val="center"/>
        <w:rPr>
          <w:rFonts w:ascii="黑体" w:eastAsia="黑体" w:hAnsi="宋体" w:hint="eastAsia"/>
          <w:b/>
          <w:sz w:val="36"/>
          <w:szCs w:val="20"/>
        </w:rPr>
      </w:pPr>
      <w:r w:rsidRPr="004520CA">
        <w:rPr>
          <w:rFonts w:ascii="仿宋_GB2312" w:eastAsia="仿宋_GB2312" w:hAnsi="宋体" w:hint="eastAsia"/>
          <w:b/>
          <w:sz w:val="32"/>
        </w:rPr>
        <w:br w:type="page"/>
      </w:r>
      <w:r w:rsidRPr="00AD2AED">
        <w:rPr>
          <w:rFonts w:ascii="黑体" w:eastAsia="黑体" w:hAnsi="宋体" w:hint="eastAsia"/>
          <w:b/>
          <w:sz w:val="36"/>
          <w:szCs w:val="20"/>
        </w:rPr>
        <w:lastRenderedPageBreak/>
        <w:t>特别告知</w:t>
      </w:r>
    </w:p>
    <w:p w:rsidR="000418FC" w:rsidRPr="004520CA" w:rsidRDefault="000418FC" w:rsidP="000418FC">
      <w:pPr>
        <w:snapToGrid w:val="0"/>
        <w:spacing w:line="360" w:lineRule="auto"/>
        <w:outlineLvl w:val="0"/>
        <w:rPr>
          <w:rFonts w:ascii="仿宋_GB2312" w:eastAsia="仿宋_GB2312" w:hAnsi="宋体" w:hint="eastAsia"/>
          <w:b/>
          <w:sz w:val="32"/>
        </w:rPr>
      </w:pPr>
    </w:p>
    <w:p w:rsidR="000418FC" w:rsidRPr="004520CA" w:rsidRDefault="000418FC" w:rsidP="000418FC">
      <w:pPr>
        <w:snapToGrid w:val="0"/>
        <w:spacing w:line="400" w:lineRule="exact"/>
        <w:ind w:firstLineChars="200" w:firstLine="480"/>
        <w:outlineLvl w:val="0"/>
        <w:rPr>
          <w:rFonts w:ascii="仿宋_GB2312" w:eastAsia="仿宋_GB2312" w:hAnsi="宋体" w:hint="eastAsia"/>
          <w:sz w:val="24"/>
          <w:szCs w:val="20"/>
        </w:rPr>
      </w:pPr>
      <w:r w:rsidRPr="004520CA">
        <w:rPr>
          <w:rFonts w:ascii="仿宋_GB2312" w:eastAsia="仿宋_GB2312" w:hAnsi="宋体" w:hint="eastAsia"/>
          <w:sz w:val="24"/>
          <w:szCs w:val="20"/>
        </w:rPr>
        <w:t>1、</w:t>
      </w:r>
      <w:r>
        <w:rPr>
          <w:rFonts w:ascii="仿宋_GB2312" w:eastAsia="仿宋_GB2312" w:hAnsi="宋体" w:hint="eastAsia"/>
          <w:sz w:val="24"/>
          <w:szCs w:val="20"/>
        </w:rPr>
        <w:t>本分户报告是根据《上海市国有土地上房屋征收评估管理规定》和《上海市国有土地上房屋征收评估技术规范》制定的示范文本，供房地产估价机构出具分户报告时，参照使用</w:t>
      </w:r>
      <w:r w:rsidRPr="004520CA">
        <w:rPr>
          <w:rFonts w:ascii="仿宋_GB2312" w:eastAsia="仿宋_GB2312" w:hAnsi="宋体" w:hint="eastAsia"/>
          <w:sz w:val="24"/>
          <w:szCs w:val="20"/>
        </w:rPr>
        <w:t>。</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sidRPr="004520CA">
        <w:rPr>
          <w:rFonts w:ascii="仿宋_GB2312" w:eastAsia="仿宋_GB2312" w:hAnsi="宋体" w:hint="eastAsia"/>
          <w:sz w:val="24"/>
          <w:szCs w:val="20"/>
        </w:rPr>
        <w:t>2、</w:t>
      </w:r>
      <w:r>
        <w:rPr>
          <w:rFonts w:ascii="仿宋_GB2312" w:eastAsia="仿宋_GB2312" w:hAnsi="宋体" w:hint="eastAsia"/>
          <w:sz w:val="24"/>
          <w:szCs w:val="20"/>
        </w:rPr>
        <w:t>分户报告，应当经房地产估价机构加盖公章和不少于2名注册房地产估价师签字后有效，并由</w:t>
      </w:r>
      <w:r w:rsidRPr="004520CA">
        <w:rPr>
          <w:rFonts w:ascii="仿宋_GB2312" w:eastAsia="仿宋_GB2312" w:hAnsi="宋体" w:hint="eastAsia"/>
          <w:sz w:val="24"/>
          <w:szCs w:val="20"/>
        </w:rPr>
        <w:t>房屋征收部门向被征收人、公有住房承租人转交</w:t>
      </w:r>
      <w:r>
        <w:rPr>
          <w:rFonts w:ascii="仿宋_GB2312" w:eastAsia="仿宋_GB2312" w:hAnsi="宋体" w:hint="eastAsia"/>
          <w:sz w:val="24"/>
          <w:szCs w:val="20"/>
        </w:rPr>
        <w:t>。</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分户报告不得涂改、不得手写（注册估价师签字除外）。</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3</w:t>
      </w:r>
      <w:r w:rsidRPr="004520CA">
        <w:rPr>
          <w:rFonts w:ascii="仿宋_GB2312" w:eastAsia="仿宋_GB2312" w:hAnsi="宋体" w:hint="eastAsia"/>
          <w:sz w:val="24"/>
          <w:szCs w:val="20"/>
        </w:rPr>
        <w:t>、</w:t>
      </w:r>
      <w:r>
        <w:rPr>
          <w:rFonts w:ascii="仿宋_GB2312" w:eastAsia="仿宋_GB2312" w:hAnsi="宋体" w:hint="eastAsia"/>
          <w:sz w:val="24"/>
          <w:szCs w:val="20"/>
        </w:rPr>
        <w:t>本分户报告一式三份，</w:t>
      </w:r>
      <w:r w:rsidRPr="004520CA">
        <w:rPr>
          <w:rFonts w:ascii="仿宋_GB2312" w:eastAsia="仿宋_GB2312" w:hAnsi="宋体" w:hint="eastAsia"/>
          <w:sz w:val="24"/>
          <w:szCs w:val="20"/>
        </w:rPr>
        <w:t>被征收人、公有房屋承租人、房屋征收部门</w:t>
      </w:r>
      <w:r>
        <w:rPr>
          <w:rFonts w:ascii="仿宋_GB2312" w:eastAsia="仿宋_GB2312" w:hAnsi="宋体" w:hint="eastAsia"/>
          <w:sz w:val="24"/>
          <w:szCs w:val="20"/>
        </w:rPr>
        <w:t>（评估委托人）</w:t>
      </w:r>
      <w:r w:rsidRPr="004520CA">
        <w:rPr>
          <w:rFonts w:ascii="仿宋_GB2312" w:eastAsia="仿宋_GB2312" w:hAnsi="宋体" w:hint="eastAsia"/>
          <w:sz w:val="24"/>
          <w:szCs w:val="20"/>
        </w:rPr>
        <w:t>、</w:t>
      </w:r>
      <w:r>
        <w:rPr>
          <w:rFonts w:ascii="仿宋_GB2312" w:eastAsia="仿宋_GB2312" w:hAnsi="宋体" w:hint="eastAsia"/>
          <w:sz w:val="24"/>
          <w:szCs w:val="20"/>
        </w:rPr>
        <w:t>房地产估价机构</w:t>
      </w:r>
      <w:r w:rsidRPr="004520CA">
        <w:rPr>
          <w:rFonts w:ascii="仿宋_GB2312" w:eastAsia="仿宋_GB2312" w:hAnsi="宋体" w:hint="eastAsia"/>
          <w:sz w:val="24"/>
          <w:szCs w:val="20"/>
        </w:rPr>
        <w:t>各执一份。</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4</w:t>
      </w:r>
      <w:r w:rsidRPr="004520CA">
        <w:rPr>
          <w:rFonts w:ascii="仿宋_GB2312" w:eastAsia="仿宋_GB2312" w:hAnsi="宋体" w:hint="eastAsia"/>
          <w:sz w:val="24"/>
          <w:szCs w:val="20"/>
        </w:rPr>
        <w:t>、被征收人、公有房屋承租人或者房屋征收部门对</w:t>
      </w:r>
      <w:r>
        <w:rPr>
          <w:rFonts w:ascii="仿宋_GB2312" w:eastAsia="仿宋_GB2312" w:hAnsi="宋体" w:hint="eastAsia"/>
          <w:sz w:val="24"/>
          <w:szCs w:val="20"/>
        </w:rPr>
        <w:t>分户报告评估结果有异议的，应当在收到分户</w:t>
      </w:r>
      <w:r w:rsidRPr="004520CA">
        <w:rPr>
          <w:rFonts w:ascii="仿宋_GB2312" w:eastAsia="仿宋_GB2312" w:hAnsi="宋体" w:hint="eastAsia"/>
          <w:sz w:val="24"/>
          <w:szCs w:val="20"/>
        </w:rPr>
        <w:t>报告之日起10日内向出具</w:t>
      </w:r>
      <w:r>
        <w:rPr>
          <w:rFonts w:ascii="仿宋_GB2312" w:eastAsia="仿宋_GB2312" w:hAnsi="宋体" w:hint="eastAsia"/>
          <w:sz w:val="24"/>
          <w:szCs w:val="20"/>
        </w:rPr>
        <w:t>该分户</w:t>
      </w:r>
      <w:r w:rsidRPr="004520CA">
        <w:rPr>
          <w:rFonts w:ascii="仿宋_GB2312" w:eastAsia="仿宋_GB2312" w:hAnsi="宋体" w:hint="eastAsia"/>
          <w:sz w:val="24"/>
          <w:szCs w:val="20"/>
        </w:rPr>
        <w:t>报告的</w:t>
      </w:r>
      <w:r>
        <w:rPr>
          <w:rFonts w:ascii="仿宋_GB2312" w:eastAsia="仿宋_GB2312" w:hAnsi="宋体" w:hint="eastAsia"/>
          <w:sz w:val="24"/>
          <w:szCs w:val="20"/>
        </w:rPr>
        <w:t>房地产</w:t>
      </w:r>
      <w:r w:rsidRPr="004520CA">
        <w:rPr>
          <w:rFonts w:ascii="仿宋_GB2312" w:eastAsia="仿宋_GB2312" w:hAnsi="宋体" w:hint="eastAsia"/>
          <w:sz w:val="24"/>
          <w:szCs w:val="20"/>
        </w:rPr>
        <w:t>估价机构提出书面复核评估申请，并指出</w:t>
      </w:r>
      <w:r>
        <w:rPr>
          <w:rFonts w:ascii="仿宋_GB2312" w:eastAsia="仿宋_GB2312" w:hAnsi="宋体" w:hint="eastAsia"/>
          <w:sz w:val="24"/>
          <w:szCs w:val="20"/>
        </w:rPr>
        <w:t>分户</w:t>
      </w:r>
      <w:r w:rsidRPr="004520CA">
        <w:rPr>
          <w:rFonts w:ascii="仿宋_GB2312" w:eastAsia="仿宋_GB2312" w:hAnsi="宋体" w:hint="eastAsia"/>
          <w:sz w:val="24"/>
          <w:szCs w:val="20"/>
        </w:rPr>
        <w:t>报告存在的问题。</w:t>
      </w:r>
      <w:r>
        <w:rPr>
          <w:rFonts w:ascii="仿宋_GB2312" w:eastAsia="仿宋_GB2312" w:hAnsi="宋体" w:hint="eastAsia"/>
          <w:sz w:val="24"/>
          <w:szCs w:val="20"/>
        </w:rPr>
        <w:t>房地产</w:t>
      </w:r>
      <w:r w:rsidRPr="004520CA">
        <w:rPr>
          <w:rFonts w:ascii="仿宋_GB2312" w:eastAsia="仿宋_GB2312" w:hAnsi="宋体" w:hint="eastAsia"/>
          <w:sz w:val="24"/>
          <w:szCs w:val="20"/>
        </w:rPr>
        <w:t>估价机构应当在收到书面复核评估申请之日起10日内对评估结果进行复核</w:t>
      </w:r>
      <w:r>
        <w:rPr>
          <w:rFonts w:ascii="仿宋_GB2312" w:eastAsia="仿宋_GB2312" w:hAnsi="宋体" w:hint="eastAsia"/>
          <w:sz w:val="24"/>
          <w:szCs w:val="20"/>
        </w:rPr>
        <w:t>；</w:t>
      </w:r>
      <w:r w:rsidRPr="004520CA">
        <w:rPr>
          <w:rFonts w:ascii="仿宋_GB2312" w:eastAsia="仿宋_GB2312" w:hAnsi="宋体" w:hint="eastAsia"/>
          <w:sz w:val="24"/>
          <w:szCs w:val="20"/>
        </w:rPr>
        <w:t>复核后，改变原评估结果的，收回原</w:t>
      </w:r>
      <w:r>
        <w:rPr>
          <w:rFonts w:ascii="仿宋_GB2312" w:eastAsia="仿宋_GB2312" w:hAnsi="宋体" w:hint="eastAsia"/>
          <w:sz w:val="24"/>
          <w:szCs w:val="20"/>
        </w:rPr>
        <w:t>分户</w:t>
      </w:r>
      <w:r w:rsidRPr="004520CA">
        <w:rPr>
          <w:rFonts w:ascii="仿宋_GB2312" w:eastAsia="仿宋_GB2312" w:hAnsi="宋体" w:hint="eastAsia"/>
          <w:sz w:val="24"/>
          <w:szCs w:val="20"/>
        </w:rPr>
        <w:t>报告，重新出具</w:t>
      </w:r>
      <w:r>
        <w:rPr>
          <w:rFonts w:ascii="仿宋_GB2312" w:eastAsia="仿宋_GB2312" w:hAnsi="宋体" w:hint="eastAsia"/>
          <w:sz w:val="24"/>
          <w:szCs w:val="20"/>
        </w:rPr>
        <w:t>分户</w:t>
      </w:r>
      <w:r w:rsidRPr="004520CA">
        <w:rPr>
          <w:rFonts w:ascii="仿宋_GB2312" w:eastAsia="仿宋_GB2312" w:hAnsi="宋体" w:hint="eastAsia"/>
          <w:sz w:val="24"/>
          <w:szCs w:val="20"/>
        </w:rPr>
        <w:t>报告；评估结果没有改变的，书面告知复核评估申请人。</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5、</w:t>
      </w:r>
      <w:r w:rsidRPr="004520CA">
        <w:rPr>
          <w:rFonts w:ascii="仿宋_GB2312" w:eastAsia="仿宋_GB2312" w:hAnsi="宋体" w:hint="eastAsia"/>
          <w:sz w:val="24"/>
          <w:szCs w:val="20"/>
        </w:rPr>
        <w:t>被征收人、公有房屋承租人或者房屋征收部门对</w:t>
      </w:r>
      <w:r>
        <w:rPr>
          <w:rFonts w:ascii="仿宋_GB2312" w:eastAsia="仿宋_GB2312" w:hAnsi="宋体" w:hint="eastAsia"/>
          <w:sz w:val="24"/>
          <w:szCs w:val="20"/>
        </w:rPr>
        <w:t>房地产估价机构</w:t>
      </w:r>
      <w:r w:rsidRPr="004520CA">
        <w:rPr>
          <w:rFonts w:ascii="仿宋_GB2312" w:eastAsia="仿宋_GB2312" w:hAnsi="宋体" w:hint="eastAsia"/>
          <w:sz w:val="24"/>
          <w:szCs w:val="20"/>
        </w:rPr>
        <w:t>复核结果有异议的，应当自收到复核结果之日起10日内</w:t>
      </w:r>
      <w:r>
        <w:rPr>
          <w:rFonts w:ascii="仿宋_GB2312" w:eastAsia="仿宋_GB2312" w:hAnsi="宋体" w:hint="eastAsia"/>
          <w:sz w:val="24"/>
          <w:szCs w:val="20"/>
        </w:rPr>
        <w:t>，</w:t>
      </w:r>
      <w:r w:rsidRPr="004520CA">
        <w:rPr>
          <w:rFonts w:ascii="仿宋_GB2312" w:eastAsia="仿宋_GB2312" w:hAnsi="宋体" w:hint="eastAsia"/>
          <w:sz w:val="24"/>
          <w:szCs w:val="20"/>
        </w:rPr>
        <w:t>向</w:t>
      </w:r>
      <w:r>
        <w:rPr>
          <w:rFonts w:ascii="仿宋_GB2312" w:eastAsia="仿宋_GB2312" w:hAnsi="宋体" w:hint="eastAsia"/>
          <w:sz w:val="24"/>
          <w:szCs w:val="20"/>
        </w:rPr>
        <w:t>上海市房地产估价师协会</w:t>
      </w:r>
      <w:r w:rsidRPr="004520CA">
        <w:rPr>
          <w:rFonts w:ascii="仿宋_GB2312" w:eastAsia="仿宋_GB2312" w:hAnsi="宋体" w:hint="eastAsia"/>
          <w:sz w:val="24"/>
          <w:szCs w:val="20"/>
        </w:rPr>
        <w:t>估价专家委员会申请鉴定。</w:t>
      </w:r>
    </w:p>
    <w:p w:rsidR="000418FC" w:rsidRPr="00E62A39" w:rsidRDefault="000418FC" w:rsidP="000418FC">
      <w:pPr>
        <w:widowControl/>
        <w:spacing w:line="520" w:lineRule="exact"/>
        <w:ind w:firstLineChars="200" w:firstLine="480"/>
        <w:jc w:val="left"/>
        <w:rPr>
          <w:rFonts w:ascii="仿宋_GB2312" w:eastAsia="仿宋_GB2312" w:hAnsi="宋体" w:hint="eastAsia"/>
          <w:sz w:val="24"/>
          <w:szCs w:val="20"/>
        </w:rPr>
      </w:pPr>
      <w:r>
        <w:rPr>
          <w:rFonts w:ascii="仿宋_GB2312" w:eastAsia="仿宋_GB2312" w:hAnsi="宋体" w:hint="eastAsia"/>
          <w:sz w:val="24"/>
          <w:szCs w:val="20"/>
        </w:rPr>
        <w:t>6、鉴定费由申请人承担。但</w:t>
      </w:r>
      <w:r w:rsidRPr="00E62A39">
        <w:rPr>
          <w:rFonts w:ascii="仿宋_GB2312" w:eastAsia="仿宋_GB2312" w:hAnsi="宋体" w:hint="eastAsia"/>
          <w:sz w:val="24"/>
          <w:szCs w:val="20"/>
        </w:rPr>
        <w:t>鉴定改变原评估结果的，鉴定费用由</w:t>
      </w:r>
      <w:r>
        <w:rPr>
          <w:rFonts w:ascii="仿宋_GB2312" w:eastAsia="仿宋_GB2312" w:hAnsi="宋体" w:hint="eastAsia"/>
          <w:sz w:val="24"/>
          <w:szCs w:val="20"/>
        </w:rPr>
        <w:t>房地产</w:t>
      </w:r>
      <w:r w:rsidRPr="00E62A39">
        <w:rPr>
          <w:rFonts w:ascii="仿宋_GB2312" w:eastAsia="仿宋_GB2312" w:hAnsi="宋体" w:hint="eastAsia"/>
          <w:sz w:val="24"/>
          <w:szCs w:val="20"/>
        </w:rPr>
        <w:t>估价机构承担。</w:t>
      </w:r>
    </w:p>
    <w:p w:rsidR="000418FC" w:rsidRPr="004520CA" w:rsidRDefault="000418FC" w:rsidP="000418FC">
      <w:pPr>
        <w:snapToGrid w:val="0"/>
        <w:spacing w:line="400" w:lineRule="exact"/>
        <w:outlineLvl w:val="0"/>
        <w:rPr>
          <w:rFonts w:ascii="仿宋_GB2312" w:eastAsia="仿宋_GB2312" w:hAnsi="宋体" w:hint="eastAsia"/>
          <w:sz w:val="24"/>
          <w:szCs w:val="20"/>
        </w:rPr>
      </w:pPr>
      <w:r>
        <w:rPr>
          <w:rFonts w:ascii="仿宋_GB2312" w:eastAsia="仿宋_GB2312" w:hAnsi="宋体" w:hint="eastAsia"/>
          <w:sz w:val="24"/>
          <w:szCs w:val="20"/>
        </w:rPr>
        <w:t xml:space="preserve">    7、房地产估价机构联系方式</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办公</w:t>
      </w:r>
      <w:r w:rsidRPr="004520CA">
        <w:rPr>
          <w:rFonts w:ascii="仿宋_GB2312" w:eastAsia="仿宋_GB2312" w:hAnsi="宋体" w:hint="eastAsia"/>
          <w:sz w:val="24"/>
          <w:szCs w:val="20"/>
        </w:rPr>
        <w:t>地址：</w:t>
      </w:r>
    </w:p>
    <w:p w:rsidR="000418FC" w:rsidRDefault="000418FC" w:rsidP="000418FC">
      <w:pPr>
        <w:snapToGrid w:val="0"/>
        <w:spacing w:line="400" w:lineRule="exact"/>
        <w:ind w:firstLineChars="200" w:firstLine="480"/>
        <w:outlineLvl w:val="0"/>
        <w:rPr>
          <w:rFonts w:ascii="仿宋_GB2312" w:eastAsia="仿宋_GB2312" w:hAnsi="宋体" w:hint="eastAsia"/>
          <w:sz w:val="24"/>
          <w:szCs w:val="20"/>
        </w:rPr>
      </w:pPr>
      <w:r w:rsidRPr="004520CA">
        <w:rPr>
          <w:rFonts w:ascii="仿宋_GB2312" w:eastAsia="仿宋_GB2312" w:hAnsi="宋体" w:hint="eastAsia"/>
          <w:sz w:val="24"/>
          <w:szCs w:val="20"/>
        </w:rPr>
        <w:t>联系电话：</w:t>
      </w:r>
    </w:p>
    <w:p w:rsidR="000418FC" w:rsidRPr="004520CA"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8、</w:t>
      </w:r>
      <w:r w:rsidRPr="004520CA">
        <w:rPr>
          <w:rFonts w:ascii="仿宋_GB2312" w:eastAsia="仿宋_GB2312" w:hAnsi="宋体" w:hint="eastAsia"/>
          <w:sz w:val="24"/>
          <w:szCs w:val="20"/>
        </w:rPr>
        <w:t>上海市房地产估价协会估价专家委员会</w:t>
      </w:r>
      <w:r>
        <w:rPr>
          <w:rFonts w:ascii="仿宋_GB2312" w:eastAsia="仿宋_GB2312" w:hAnsi="宋体" w:hint="eastAsia"/>
          <w:sz w:val="24"/>
          <w:szCs w:val="20"/>
        </w:rPr>
        <w:t>联系方式</w:t>
      </w:r>
    </w:p>
    <w:p w:rsidR="000418FC" w:rsidRPr="004520CA" w:rsidRDefault="000418FC" w:rsidP="000418FC">
      <w:pPr>
        <w:snapToGrid w:val="0"/>
        <w:spacing w:line="400" w:lineRule="exact"/>
        <w:ind w:firstLineChars="200" w:firstLine="480"/>
        <w:outlineLvl w:val="0"/>
        <w:rPr>
          <w:rFonts w:ascii="仿宋_GB2312" w:eastAsia="仿宋_GB2312" w:hAnsi="宋体" w:hint="eastAsia"/>
          <w:sz w:val="24"/>
          <w:szCs w:val="20"/>
        </w:rPr>
      </w:pPr>
      <w:r>
        <w:rPr>
          <w:rFonts w:ascii="仿宋_GB2312" w:eastAsia="仿宋_GB2312" w:hAnsi="宋体" w:hint="eastAsia"/>
          <w:sz w:val="24"/>
          <w:szCs w:val="20"/>
        </w:rPr>
        <w:t>办公</w:t>
      </w:r>
      <w:r w:rsidRPr="004520CA">
        <w:rPr>
          <w:rFonts w:ascii="仿宋_GB2312" w:eastAsia="仿宋_GB2312" w:hAnsi="宋体" w:hint="eastAsia"/>
          <w:sz w:val="24"/>
          <w:szCs w:val="20"/>
        </w:rPr>
        <w:t>地址：肇嘉浜路159号6楼</w:t>
      </w:r>
    </w:p>
    <w:p w:rsidR="000418FC" w:rsidRPr="004520CA" w:rsidRDefault="000418FC" w:rsidP="000418FC">
      <w:pPr>
        <w:snapToGrid w:val="0"/>
        <w:spacing w:line="400" w:lineRule="exact"/>
        <w:ind w:firstLineChars="200" w:firstLine="480"/>
        <w:outlineLvl w:val="0"/>
        <w:rPr>
          <w:rFonts w:ascii="仿宋_GB2312" w:eastAsia="仿宋_GB2312" w:hAnsi="宋体" w:hint="eastAsia"/>
          <w:sz w:val="24"/>
          <w:szCs w:val="20"/>
        </w:rPr>
      </w:pPr>
      <w:r w:rsidRPr="004520CA">
        <w:rPr>
          <w:rFonts w:ascii="仿宋_GB2312" w:eastAsia="仿宋_GB2312" w:hAnsi="宋体" w:hint="eastAsia"/>
          <w:sz w:val="24"/>
          <w:szCs w:val="20"/>
        </w:rPr>
        <w:t>联系电话：021-64174762</w:t>
      </w:r>
    </w:p>
    <w:p w:rsidR="000418FC" w:rsidRPr="004520CA" w:rsidRDefault="000418FC" w:rsidP="000418FC">
      <w:pPr>
        <w:widowControl/>
        <w:jc w:val="left"/>
        <w:rPr>
          <w:rFonts w:ascii="仿宋_GB2312" w:eastAsia="仿宋_GB2312" w:hAnsi="宋体" w:hint="eastAsia"/>
          <w:b/>
          <w:sz w:val="24"/>
        </w:rPr>
      </w:pPr>
      <w:r w:rsidRPr="004520CA">
        <w:rPr>
          <w:rFonts w:ascii="仿宋_GB2312" w:eastAsia="仿宋_GB2312" w:hAnsi="宋体" w:hint="eastAsia"/>
          <w:b/>
          <w:sz w:val="24"/>
        </w:rPr>
        <w:br w:type="page"/>
      </w:r>
    </w:p>
    <w:p w:rsidR="000418FC" w:rsidRPr="004520CA" w:rsidRDefault="000418FC" w:rsidP="000418FC">
      <w:pPr>
        <w:snapToGrid w:val="0"/>
        <w:jc w:val="center"/>
        <w:outlineLvl w:val="0"/>
        <w:rPr>
          <w:rFonts w:ascii="仿宋_GB2312" w:eastAsia="仿宋_GB2312" w:hAnsi="宋体" w:hint="eastAsia"/>
          <w:b/>
          <w:sz w:val="36"/>
        </w:rPr>
      </w:pPr>
      <w:r>
        <w:rPr>
          <w:rFonts w:ascii="仿宋_GB2312" w:eastAsia="仿宋_GB2312" w:hAnsi="宋体" w:hint="eastAsia"/>
          <w:b/>
          <w:sz w:val="36"/>
        </w:rPr>
        <w:lastRenderedPageBreak/>
        <w:t>评估</w:t>
      </w:r>
      <w:r w:rsidRPr="004520CA">
        <w:rPr>
          <w:rFonts w:ascii="仿宋_GB2312" w:eastAsia="仿宋_GB2312" w:hAnsi="宋体" w:hint="eastAsia"/>
          <w:b/>
          <w:sz w:val="36"/>
        </w:rPr>
        <w:t>对象</w:t>
      </w:r>
    </w:p>
    <w:tbl>
      <w:tblPr>
        <w:tblW w:w="8814" w:type="dxa"/>
        <w:jc w:val="center"/>
        <w:tblInd w:w="93" w:type="dxa"/>
        <w:tblLook w:val="04A0"/>
      </w:tblPr>
      <w:tblGrid>
        <w:gridCol w:w="456"/>
        <w:gridCol w:w="2318"/>
        <w:gridCol w:w="1272"/>
        <w:gridCol w:w="1791"/>
        <w:gridCol w:w="1417"/>
        <w:gridCol w:w="1560"/>
      </w:tblGrid>
      <w:tr w:rsidR="000418FC" w:rsidRPr="004520CA" w:rsidTr="006B5902">
        <w:trPr>
          <w:trHeight w:val="483"/>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房屋</w:t>
            </w:r>
            <w:r w:rsidRPr="004520CA">
              <w:rPr>
                <w:rFonts w:ascii="仿宋_GB2312" w:eastAsia="仿宋_GB2312" w:hAnsi="宋体" w:cs="宋体" w:hint="eastAsia"/>
                <w:kern w:val="0"/>
                <w:sz w:val="24"/>
              </w:rPr>
              <w:t>征收项目情况</w:t>
            </w:r>
          </w:p>
        </w:tc>
        <w:tc>
          <w:tcPr>
            <w:tcW w:w="2318" w:type="dxa"/>
            <w:tcBorders>
              <w:top w:val="single" w:sz="4" w:space="0" w:color="auto"/>
              <w:left w:val="nil"/>
              <w:bottom w:val="single" w:sz="4" w:space="0" w:color="auto"/>
              <w:right w:val="nil"/>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征收项目名称</w:t>
            </w:r>
          </w:p>
        </w:tc>
        <w:tc>
          <w:tcPr>
            <w:tcW w:w="6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525"/>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nil"/>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征收项目范围</w:t>
            </w:r>
          </w:p>
        </w:tc>
        <w:tc>
          <w:tcPr>
            <w:tcW w:w="6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54"/>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nil"/>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房屋征收部门</w:t>
            </w:r>
          </w:p>
        </w:tc>
        <w:tc>
          <w:tcPr>
            <w:tcW w:w="60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nil"/>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AA15C1">
              <w:rPr>
                <w:rFonts w:ascii="仿宋_GB2312" w:eastAsia="仿宋_GB2312" w:hAnsi="宋体" w:cs="宋体" w:hint="eastAsia"/>
                <w:kern w:val="0"/>
                <w:szCs w:val="21"/>
              </w:rPr>
              <w:t>房屋</w:t>
            </w:r>
            <w:r>
              <w:rPr>
                <w:rFonts w:ascii="仿宋_GB2312" w:eastAsia="仿宋_GB2312" w:hAnsi="宋体" w:cs="宋体" w:hint="eastAsia"/>
                <w:kern w:val="0"/>
                <w:szCs w:val="21"/>
              </w:rPr>
              <w:t>征收决定</w:t>
            </w:r>
            <w:r w:rsidRPr="00AA15C1">
              <w:rPr>
                <w:rFonts w:ascii="仿宋_GB2312" w:eastAsia="仿宋_GB2312" w:hAnsi="宋体" w:cs="宋体" w:hint="eastAsia"/>
                <w:kern w:val="0"/>
                <w:szCs w:val="21"/>
              </w:rPr>
              <w:t>文号</w:t>
            </w:r>
          </w:p>
        </w:tc>
        <w:tc>
          <w:tcPr>
            <w:tcW w:w="60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25"/>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nil"/>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Cs w:val="21"/>
              </w:rPr>
            </w:pPr>
            <w:r w:rsidRPr="004520CA">
              <w:rPr>
                <w:rFonts w:ascii="仿宋_GB2312" w:eastAsia="仿宋_GB2312" w:hAnsi="宋体" w:cs="宋体" w:hint="eastAsia"/>
                <w:kern w:val="0"/>
                <w:szCs w:val="21"/>
              </w:rPr>
              <w:t>房屋征收决定公告日</w:t>
            </w:r>
            <w:r>
              <w:rPr>
                <w:rFonts w:ascii="仿宋_GB2312" w:eastAsia="仿宋_GB2312" w:hAnsi="宋体" w:cs="宋体" w:hint="eastAsia"/>
                <w:kern w:val="0"/>
                <w:szCs w:val="21"/>
              </w:rPr>
              <w:t>期</w:t>
            </w:r>
          </w:p>
        </w:tc>
        <w:tc>
          <w:tcPr>
            <w:tcW w:w="60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570"/>
          <w:jc w:val="center"/>
        </w:trPr>
        <w:tc>
          <w:tcPr>
            <w:tcW w:w="456" w:type="dxa"/>
            <w:vMerge w:val="restart"/>
            <w:tcBorders>
              <w:top w:val="nil"/>
              <w:left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被征收房屋状况</w:t>
            </w:r>
          </w:p>
        </w:tc>
        <w:tc>
          <w:tcPr>
            <w:tcW w:w="2318" w:type="dxa"/>
            <w:tcBorders>
              <w:top w:val="nil"/>
              <w:left w:val="nil"/>
              <w:bottom w:val="single" w:sz="4" w:space="0" w:color="auto"/>
              <w:right w:val="single" w:sz="4" w:space="0" w:color="auto"/>
            </w:tcBorders>
            <w:shd w:val="clear" w:color="auto" w:fill="auto"/>
            <w:vAlign w:val="center"/>
          </w:tcPr>
          <w:p w:rsidR="000418FC"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被征收人/</w:t>
            </w:r>
          </w:p>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公有住房承租人</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权证或公房租赁凭证编号</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被征收房屋座落</w:t>
            </w:r>
          </w:p>
        </w:tc>
        <w:tc>
          <w:tcPr>
            <w:tcW w:w="6040" w:type="dxa"/>
            <w:gridSpan w:val="4"/>
            <w:tcBorders>
              <w:top w:val="single" w:sz="4" w:space="0" w:color="auto"/>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房屋编号</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房屋1</w:t>
            </w: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房屋2</w:t>
            </w: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房屋3</w:t>
            </w: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房屋4</w:t>
            </w: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权属性质</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房屋类型</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房屋用途</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建筑结构</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建造年代</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总层数</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室号或部位</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所处楼层</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主朝向</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设施设备</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其他</w:t>
            </w: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402"/>
          <w:jc w:val="center"/>
        </w:trPr>
        <w:tc>
          <w:tcPr>
            <w:tcW w:w="456" w:type="dxa"/>
            <w:vMerge/>
            <w:tcBorders>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23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272"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791"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rsidR="000418FC" w:rsidRDefault="000418FC" w:rsidP="006B5902">
            <w:pPr>
              <w:widowControl/>
              <w:jc w:val="left"/>
              <w:rPr>
                <w:rFonts w:ascii="仿宋_GB2312" w:eastAsia="仿宋_GB2312" w:hAnsi="宋体" w:cs="宋体" w:hint="eastAsia"/>
                <w:kern w:val="0"/>
                <w:sz w:val="24"/>
              </w:rPr>
            </w:pPr>
            <w:r w:rsidRPr="004520CA">
              <w:rPr>
                <w:rFonts w:ascii="仿宋_GB2312" w:eastAsia="仿宋_GB2312" w:hAnsi="宋体" w:cs="宋体" w:hint="eastAsia"/>
                <w:kern w:val="0"/>
                <w:sz w:val="24"/>
              </w:rPr>
              <w:t>房屋平面示意图：</w:t>
            </w: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435"/>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645"/>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585"/>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312"/>
          <w:jc w:val="center"/>
        </w:trPr>
        <w:tc>
          <w:tcPr>
            <w:tcW w:w="8814" w:type="dxa"/>
            <w:gridSpan w:val="6"/>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bl>
    <w:p w:rsidR="000418FC" w:rsidRPr="004520CA" w:rsidRDefault="000418FC" w:rsidP="000418FC">
      <w:pPr>
        <w:snapToGrid w:val="0"/>
        <w:outlineLvl w:val="0"/>
        <w:rPr>
          <w:rFonts w:ascii="仿宋_GB2312" w:eastAsia="仿宋_GB2312" w:hAnsi="宋体" w:hint="eastAsia"/>
          <w:b/>
          <w:sz w:val="24"/>
        </w:rPr>
      </w:pPr>
    </w:p>
    <w:p w:rsidR="000418FC" w:rsidRPr="004520CA" w:rsidRDefault="000418FC" w:rsidP="000418FC">
      <w:pPr>
        <w:snapToGrid w:val="0"/>
        <w:jc w:val="center"/>
        <w:outlineLvl w:val="0"/>
        <w:rPr>
          <w:rFonts w:ascii="仿宋_GB2312" w:eastAsia="仿宋_GB2312" w:hAnsi="宋体" w:hint="eastAsia"/>
          <w:b/>
          <w:sz w:val="36"/>
        </w:rPr>
      </w:pPr>
      <w:r>
        <w:rPr>
          <w:rFonts w:ascii="仿宋_GB2312" w:eastAsia="仿宋_GB2312" w:hAnsi="宋体" w:hint="eastAsia"/>
          <w:b/>
          <w:sz w:val="36"/>
        </w:rPr>
        <w:lastRenderedPageBreak/>
        <w:t>评估</w:t>
      </w:r>
      <w:r w:rsidRPr="004520CA">
        <w:rPr>
          <w:rFonts w:ascii="仿宋_GB2312" w:eastAsia="仿宋_GB2312" w:hAnsi="宋体" w:hint="eastAsia"/>
          <w:b/>
          <w:sz w:val="36"/>
        </w:rPr>
        <w:t>结果</w:t>
      </w:r>
    </w:p>
    <w:tbl>
      <w:tblPr>
        <w:tblW w:w="8844" w:type="dxa"/>
        <w:jc w:val="center"/>
        <w:tblLook w:val="04A0"/>
      </w:tblPr>
      <w:tblGrid>
        <w:gridCol w:w="1349"/>
        <w:gridCol w:w="1825"/>
        <w:gridCol w:w="1418"/>
        <w:gridCol w:w="1417"/>
        <w:gridCol w:w="1418"/>
        <w:gridCol w:w="1417"/>
      </w:tblGrid>
      <w:tr w:rsidR="000418FC" w:rsidRPr="004520CA" w:rsidTr="006B5902">
        <w:trPr>
          <w:trHeight w:val="900"/>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评估</w:t>
            </w:r>
            <w:r w:rsidRPr="004520CA">
              <w:rPr>
                <w:rFonts w:ascii="仿宋_GB2312" w:eastAsia="仿宋_GB2312" w:hAnsi="宋体" w:cs="宋体" w:hint="eastAsia"/>
                <w:kern w:val="0"/>
                <w:sz w:val="24"/>
              </w:rPr>
              <w:t>目的</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Pr="004520CA" w:rsidRDefault="000418FC" w:rsidP="006B5902">
            <w:pPr>
              <w:widowControl/>
              <w:jc w:val="left"/>
              <w:rPr>
                <w:rFonts w:ascii="仿宋_GB2312" w:eastAsia="仿宋_GB2312" w:hAnsi="宋体" w:cs="宋体" w:hint="eastAsia"/>
                <w:kern w:val="0"/>
                <w:sz w:val="24"/>
              </w:rPr>
            </w:pPr>
            <w:r w:rsidRPr="004520CA">
              <w:rPr>
                <w:rFonts w:ascii="仿宋_GB2312" w:eastAsia="仿宋_GB2312" w:hAnsi="宋体" w:cs="宋体" w:hint="eastAsia"/>
                <w:kern w:val="0"/>
                <w:sz w:val="24"/>
              </w:rPr>
              <w:t>为房屋征收部门与被征收人、公有房屋租赁人确定被征收房屋价值的补偿提供依据，提供被征收房屋的价值。</w:t>
            </w:r>
          </w:p>
        </w:tc>
      </w:tr>
      <w:tr w:rsidR="000418FC" w:rsidRPr="004520CA" w:rsidTr="006B5902">
        <w:trPr>
          <w:trHeight w:val="702"/>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评估</w:t>
            </w:r>
            <w:r w:rsidRPr="004520CA">
              <w:rPr>
                <w:rFonts w:ascii="仿宋_GB2312" w:eastAsia="仿宋_GB2312" w:hAnsi="宋体" w:cs="宋体" w:hint="eastAsia"/>
                <w:kern w:val="0"/>
                <w:sz w:val="24"/>
              </w:rPr>
              <w:t>时点</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1020"/>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价值内涵</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Pr="004520CA" w:rsidRDefault="000418FC" w:rsidP="006B5902">
            <w:pPr>
              <w:widowControl/>
              <w:jc w:val="left"/>
              <w:rPr>
                <w:rFonts w:ascii="仿宋_GB2312" w:eastAsia="仿宋_GB2312" w:hAnsi="宋体" w:cs="宋体" w:hint="eastAsia"/>
                <w:kern w:val="0"/>
                <w:sz w:val="24"/>
              </w:rPr>
            </w:pPr>
            <w:r w:rsidRPr="004520CA">
              <w:rPr>
                <w:rFonts w:ascii="仿宋_GB2312" w:eastAsia="仿宋_GB2312" w:hAnsi="宋体" w:hint="eastAsia"/>
                <w:sz w:val="24"/>
              </w:rPr>
              <w:t>被征收房屋的价值是指根据被征收房屋及其占用土地使用权的实际状况，在估价时点正常交易情况下的房地产市场价格，不包括房屋室内装饰装修价值，也不考虑被征收房屋租赁、抵押、查封等因素的影响。</w:t>
            </w:r>
          </w:p>
        </w:tc>
      </w:tr>
      <w:tr w:rsidR="000418FC" w:rsidRPr="004520CA" w:rsidTr="006B5902">
        <w:trPr>
          <w:trHeight w:val="600"/>
          <w:jc w:val="center"/>
        </w:trPr>
        <w:tc>
          <w:tcPr>
            <w:tcW w:w="1349" w:type="dxa"/>
            <w:vMerge w:val="restart"/>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估价依据</w:t>
            </w:r>
          </w:p>
        </w:tc>
        <w:tc>
          <w:tcPr>
            <w:tcW w:w="749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8FC"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1、《国有土地上房屋征收与补偿条例》</w:t>
            </w:r>
          </w:p>
          <w:p w:rsidR="000418FC" w:rsidRPr="004520CA"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2、《上海市国有土地上房屋征收与补偿实施细则》</w:t>
            </w:r>
          </w:p>
          <w:p w:rsidR="000418FC" w:rsidRPr="004520CA"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3、《房地产估价规范》</w:t>
            </w:r>
          </w:p>
          <w:p w:rsidR="000418FC" w:rsidRPr="004520CA"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4、《国有土地上房屋征收评估办法》</w:t>
            </w:r>
          </w:p>
          <w:p w:rsidR="000418FC" w:rsidRPr="004520CA"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5、《上海市国有土地上房屋征收评估管理规定》</w:t>
            </w:r>
          </w:p>
          <w:p w:rsidR="000418FC" w:rsidRDefault="000418FC" w:rsidP="006B5902">
            <w:pPr>
              <w:widowControl/>
              <w:jc w:val="left"/>
              <w:rPr>
                <w:rFonts w:ascii="仿宋_GB2312" w:eastAsia="仿宋_GB2312" w:hAnsi="宋体" w:cs="宋体" w:hint="eastAsia"/>
                <w:kern w:val="0"/>
                <w:sz w:val="22"/>
              </w:rPr>
            </w:pPr>
            <w:r w:rsidRPr="004520CA">
              <w:rPr>
                <w:rFonts w:ascii="仿宋_GB2312" w:eastAsia="仿宋_GB2312" w:hAnsi="宋体" w:cs="宋体" w:hint="eastAsia"/>
                <w:kern w:val="0"/>
                <w:sz w:val="22"/>
              </w:rPr>
              <w:t>6、《上海市国有土地上房屋征收评估技术规范》</w:t>
            </w:r>
          </w:p>
          <w:p w:rsidR="000418FC" w:rsidRPr="004520CA" w:rsidRDefault="000418FC" w:rsidP="006B5902">
            <w:pPr>
              <w:widowControl/>
              <w:jc w:val="left"/>
              <w:rPr>
                <w:rFonts w:ascii="仿宋_GB2312" w:eastAsia="仿宋_GB2312" w:hAnsi="宋体" w:cs="宋体" w:hint="eastAsia"/>
                <w:kern w:val="0"/>
                <w:sz w:val="22"/>
              </w:rPr>
            </w:pPr>
            <w:r>
              <w:rPr>
                <w:rFonts w:ascii="仿宋_GB2312" w:eastAsia="仿宋_GB2312" w:hAnsi="宋体" w:cs="宋体" w:hint="eastAsia"/>
                <w:kern w:val="0"/>
                <w:sz w:val="22"/>
              </w:rPr>
              <w:t>7、（**其他法规或者技术标准的名称**）以及相关法规和技术要求等</w:t>
            </w:r>
          </w:p>
        </w:tc>
      </w:tr>
      <w:tr w:rsidR="000418FC" w:rsidRPr="004520CA" w:rsidTr="006B5902">
        <w:trPr>
          <w:trHeight w:val="1080"/>
          <w:jc w:val="center"/>
        </w:trPr>
        <w:tc>
          <w:tcPr>
            <w:tcW w:w="1349" w:type="dxa"/>
            <w:vMerge/>
            <w:tcBorders>
              <w:top w:val="nil"/>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7495" w:type="dxa"/>
            <w:gridSpan w:val="5"/>
            <w:vMerge/>
            <w:tcBorders>
              <w:top w:val="single" w:sz="4" w:space="0" w:color="auto"/>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2"/>
              </w:rPr>
            </w:pPr>
          </w:p>
        </w:tc>
      </w:tr>
      <w:tr w:rsidR="000418FC" w:rsidRPr="004520CA" w:rsidTr="006B5902">
        <w:trPr>
          <w:trHeight w:val="795"/>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估价原则</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Default="000418FC" w:rsidP="006B5902">
            <w:pPr>
              <w:widowControl/>
              <w:jc w:val="left"/>
              <w:rPr>
                <w:rFonts w:ascii="仿宋_GB2312" w:eastAsia="仿宋_GB2312" w:hAnsi="宋体" w:cs="宋体" w:hint="eastAsia"/>
                <w:kern w:val="0"/>
                <w:sz w:val="24"/>
              </w:rPr>
            </w:pPr>
            <w:r w:rsidRPr="004520CA">
              <w:rPr>
                <w:rFonts w:ascii="仿宋_GB2312" w:eastAsia="仿宋_GB2312" w:hAnsi="宋体" w:cs="宋体" w:hint="eastAsia"/>
                <w:kern w:val="0"/>
                <w:sz w:val="24"/>
              </w:rPr>
              <w:t>本估价报告书遵循独立、客观、公正原则、合法原则、替代原则和估价时点原则。</w:t>
            </w:r>
          </w:p>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1635"/>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估价方法</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Default="000418FC" w:rsidP="006B5902">
            <w:pPr>
              <w:widowControl/>
              <w:jc w:val="left"/>
              <w:rPr>
                <w:rFonts w:ascii="仿宋_GB2312" w:eastAsia="仿宋_GB2312" w:hAnsi="宋体" w:cs="宋体" w:hint="eastAsia"/>
                <w:kern w:val="0"/>
                <w:sz w:val="24"/>
              </w:rPr>
            </w:pPr>
          </w:p>
          <w:p w:rsidR="000418FC" w:rsidRPr="004520CA" w:rsidRDefault="000418FC" w:rsidP="006B5902">
            <w:pPr>
              <w:widowControl/>
              <w:jc w:val="left"/>
              <w:rPr>
                <w:rFonts w:ascii="仿宋_GB2312" w:eastAsia="仿宋_GB2312" w:hAnsi="宋体" w:cs="宋体" w:hint="eastAsia"/>
                <w:kern w:val="0"/>
                <w:sz w:val="24"/>
              </w:rPr>
            </w:pPr>
          </w:p>
        </w:tc>
      </w:tr>
      <w:tr w:rsidR="000418FC" w:rsidRPr="004520CA" w:rsidTr="006B5902">
        <w:trPr>
          <w:trHeight w:val="702"/>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报告作业</w:t>
            </w:r>
          </w:p>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日期</w:t>
            </w:r>
          </w:p>
        </w:tc>
        <w:tc>
          <w:tcPr>
            <w:tcW w:w="7495" w:type="dxa"/>
            <w:gridSpan w:val="5"/>
            <w:tcBorders>
              <w:top w:val="single" w:sz="4" w:space="0" w:color="auto"/>
              <w:left w:val="nil"/>
              <w:bottom w:val="single" w:sz="4" w:space="0" w:color="auto"/>
              <w:right w:val="single" w:sz="4" w:space="0" w:color="auto"/>
            </w:tcBorders>
            <w:shd w:val="clear" w:color="auto" w:fill="auto"/>
            <w:vAlign w:val="center"/>
          </w:tcPr>
          <w:p w:rsidR="000418FC" w:rsidRPr="004520CA" w:rsidRDefault="000418FC" w:rsidP="006B5902">
            <w:pPr>
              <w:widowControl/>
              <w:jc w:val="left"/>
              <w:rPr>
                <w:rFonts w:ascii="仿宋_GB2312" w:eastAsia="仿宋_GB2312" w:hAnsi="宋体" w:cs="宋体" w:hint="eastAsia"/>
                <w:kern w:val="0"/>
                <w:sz w:val="22"/>
              </w:rPr>
            </w:pPr>
          </w:p>
        </w:tc>
      </w:tr>
      <w:tr w:rsidR="000418FC" w:rsidRPr="004520CA" w:rsidTr="006B5902">
        <w:trPr>
          <w:trHeight w:val="702"/>
          <w:jc w:val="center"/>
        </w:trPr>
        <w:tc>
          <w:tcPr>
            <w:tcW w:w="1349" w:type="dxa"/>
            <w:vMerge w:val="restart"/>
            <w:tcBorders>
              <w:top w:val="nil"/>
              <w:left w:val="single" w:sz="4" w:space="0" w:color="auto"/>
              <w:bottom w:val="nil"/>
              <w:right w:val="nil"/>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评估</w:t>
            </w:r>
            <w:r w:rsidRPr="004520CA">
              <w:rPr>
                <w:rFonts w:ascii="仿宋_GB2312" w:eastAsia="仿宋_GB2312" w:hAnsi="宋体" w:cs="宋体" w:hint="eastAsia"/>
                <w:kern w:val="0"/>
                <w:sz w:val="24"/>
              </w:rPr>
              <w:t>结果</w:t>
            </w:r>
          </w:p>
        </w:tc>
        <w:tc>
          <w:tcPr>
            <w:tcW w:w="1825" w:type="dxa"/>
            <w:tcBorders>
              <w:top w:val="nil"/>
              <w:left w:val="single" w:sz="4" w:space="0" w:color="auto"/>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房屋编号</w:t>
            </w:r>
          </w:p>
        </w:tc>
        <w:tc>
          <w:tcPr>
            <w:tcW w:w="14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房屋1</w:t>
            </w: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房屋2</w:t>
            </w:r>
          </w:p>
        </w:tc>
        <w:tc>
          <w:tcPr>
            <w:tcW w:w="1418"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房屋3</w:t>
            </w:r>
          </w:p>
        </w:tc>
        <w:tc>
          <w:tcPr>
            <w:tcW w:w="1417" w:type="dxa"/>
            <w:tcBorders>
              <w:top w:val="nil"/>
              <w:left w:val="nil"/>
              <w:bottom w:val="single" w:sz="4" w:space="0" w:color="auto"/>
              <w:right w:val="single" w:sz="4" w:space="0" w:color="auto"/>
            </w:tcBorders>
            <w:shd w:val="clear" w:color="auto" w:fill="auto"/>
            <w:noWrap/>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房屋4</w:t>
            </w:r>
          </w:p>
        </w:tc>
      </w:tr>
      <w:tr w:rsidR="000418FC" w:rsidRPr="004520CA" w:rsidTr="006B5902">
        <w:trPr>
          <w:trHeight w:val="702"/>
          <w:jc w:val="center"/>
        </w:trPr>
        <w:tc>
          <w:tcPr>
            <w:tcW w:w="1349" w:type="dxa"/>
            <w:vMerge/>
            <w:tcBorders>
              <w:top w:val="nil"/>
              <w:left w:val="single" w:sz="4" w:space="0" w:color="auto"/>
              <w:bottom w:val="nil"/>
              <w:right w:val="nil"/>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1825"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房地产</w:t>
            </w:r>
            <w:r>
              <w:rPr>
                <w:rFonts w:ascii="仿宋_GB2312" w:eastAsia="仿宋_GB2312" w:hAnsi="宋体" w:cs="宋体" w:hint="eastAsia"/>
                <w:kern w:val="0"/>
                <w:sz w:val="24"/>
              </w:rPr>
              <w:t>市场</w:t>
            </w:r>
            <w:r w:rsidRPr="004520CA">
              <w:rPr>
                <w:rFonts w:ascii="仿宋_GB2312" w:eastAsia="仿宋_GB2312" w:hAnsi="宋体" w:cs="宋体" w:hint="eastAsia"/>
                <w:kern w:val="0"/>
                <w:sz w:val="24"/>
              </w:rPr>
              <w:t>单价(元/平方米)</w:t>
            </w:r>
          </w:p>
        </w:tc>
        <w:tc>
          <w:tcPr>
            <w:tcW w:w="1418" w:type="dxa"/>
            <w:tcBorders>
              <w:top w:val="nil"/>
              <w:left w:val="nil"/>
              <w:bottom w:val="single" w:sz="4" w:space="0" w:color="auto"/>
              <w:right w:val="single" w:sz="4" w:space="0" w:color="auto"/>
            </w:tcBorders>
            <w:shd w:val="clear" w:color="auto" w:fill="auto"/>
            <w:vAlign w:val="center"/>
          </w:tcPr>
          <w:p w:rsidR="000418FC" w:rsidRPr="000509F7"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8"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r>
      <w:tr w:rsidR="000418FC" w:rsidRPr="004520CA" w:rsidTr="006B5902">
        <w:trPr>
          <w:trHeight w:val="885"/>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估价机构</w:t>
            </w:r>
          </w:p>
        </w:tc>
        <w:tc>
          <w:tcPr>
            <w:tcW w:w="7495" w:type="dxa"/>
            <w:gridSpan w:val="5"/>
            <w:tcBorders>
              <w:top w:val="single" w:sz="4" w:space="0" w:color="auto"/>
              <w:left w:val="nil"/>
              <w:bottom w:val="single" w:sz="4" w:space="0" w:color="auto"/>
              <w:right w:val="single" w:sz="4" w:space="0" w:color="000000"/>
            </w:tcBorders>
            <w:shd w:val="clear" w:color="auto" w:fill="auto"/>
            <w:vAlign w:val="center"/>
          </w:tcPr>
          <w:p w:rsidR="000418FC" w:rsidRDefault="000418FC" w:rsidP="006B5902">
            <w:pPr>
              <w:widowControl/>
              <w:jc w:val="center"/>
              <w:rPr>
                <w:rFonts w:ascii="仿宋_GB2312" w:eastAsia="仿宋_GB2312" w:hAnsi="宋体" w:cs="宋体" w:hint="eastAsia"/>
                <w:kern w:val="0"/>
                <w:sz w:val="24"/>
              </w:rPr>
            </w:pPr>
          </w:p>
          <w:p w:rsidR="000418FC" w:rsidRDefault="000418FC" w:rsidP="006B5902">
            <w:pPr>
              <w:widowControl/>
              <w:jc w:val="center"/>
              <w:rPr>
                <w:rFonts w:ascii="仿宋_GB2312" w:eastAsia="仿宋_GB2312" w:hAnsi="宋体" w:cs="宋体" w:hint="eastAsia"/>
                <w:kern w:val="0"/>
                <w:sz w:val="24"/>
              </w:rPr>
            </w:pPr>
          </w:p>
          <w:p w:rsidR="000418FC" w:rsidRDefault="000418FC" w:rsidP="006B5902">
            <w:pPr>
              <w:widowControl/>
              <w:jc w:val="center"/>
              <w:rPr>
                <w:rFonts w:ascii="仿宋_GB2312" w:eastAsia="仿宋_GB2312" w:hAnsi="宋体" w:cs="宋体" w:hint="eastAsia"/>
                <w:kern w:val="0"/>
                <w:sz w:val="24"/>
              </w:rPr>
            </w:pPr>
          </w:p>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（盖章）</w:t>
            </w:r>
          </w:p>
        </w:tc>
      </w:tr>
      <w:tr w:rsidR="000418FC" w:rsidRPr="004520CA" w:rsidTr="006B5902">
        <w:trPr>
          <w:trHeight w:val="885"/>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注册房地产估价师</w:t>
            </w:r>
          </w:p>
        </w:tc>
        <w:tc>
          <w:tcPr>
            <w:tcW w:w="1825"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（签字）</w:t>
            </w:r>
          </w:p>
        </w:tc>
        <w:tc>
          <w:tcPr>
            <w:tcW w:w="1417"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注册房地产估价师</w:t>
            </w:r>
          </w:p>
        </w:tc>
        <w:tc>
          <w:tcPr>
            <w:tcW w:w="1418"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（签字）</w:t>
            </w:r>
          </w:p>
        </w:tc>
      </w:tr>
      <w:tr w:rsidR="000418FC" w:rsidRPr="004520CA" w:rsidTr="006B5902">
        <w:trPr>
          <w:trHeight w:val="525"/>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注册号</w:t>
            </w:r>
          </w:p>
        </w:tc>
        <w:tc>
          <w:tcPr>
            <w:tcW w:w="1825"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8" w:type="dxa"/>
            <w:vMerge/>
            <w:tcBorders>
              <w:top w:val="nil"/>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c>
          <w:tcPr>
            <w:tcW w:w="1417"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r w:rsidRPr="004520CA">
              <w:rPr>
                <w:rFonts w:ascii="仿宋_GB2312" w:eastAsia="仿宋_GB2312" w:hAnsi="宋体" w:cs="宋体" w:hint="eastAsia"/>
                <w:kern w:val="0"/>
                <w:sz w:val="24"/>
              </w:rPr>
              <w:t>注册号</w:t>
            </w:r>
          </w:p>
        </w:tc>
        <w:tc>
          <w:tcPr>
            <w:tcW w:w="1418" w:type="dxa"/>
            <w:tcBorders>
              <w:top w:val="nil"/>
              <w:left w:val="nil"/>
              <w:bottom w:val="single" w:sz="4" w:space="0" w:color="auto"/>
              <w:right w:val="single" w:sz="4" w:space="0" w:color="auto"/>
            </w:tcBorders>
            <w:shd w:val="clear" w:color="auto" w:fill="auto"/>
            <w:vAlign w:val="center"/>
          </w:tcPr>
          <w:p w:rsidR="000418FC" w:rsidRPr="004520CA" w:rsidRDefault="000418FC" w:rsidP="006B5902">
            <w:pPr>
              <w:widowControl/>
              <w:jc w:val="center"/>
              <w:rPr>
                <w:rFonts w:ascii="仿宋_GB2312" w:eastAsia="仿宋_GB2312" w:hAnsi="宋体" w:cs="宋体" w:hint="eastAsia"/>
                <w:kern w:val="0"/>
                <w:sz w:val="24"/>
              </w:rPr>
            </w:pPr>
          </w:p>
        </w:tc>
        <w:tc>
          <w:tcPr>
            <w:tcW w:w="1417" w:type="dxa"/>
            <w:vMerge/>
            <w:tcBorders>
              <w:top w:val="nil"/>
              <w:left w:val="single" w:sz="4" w:space="0" w:color="auto"/>
              <w:bottom w:val="single" w:sz="4" w:space="0" w:color="auto"/>
              <w:right w:val="single" w:sz="4" w:space="0" w:color="auto"/>
            </w:tcBorders>
            <w:vAlign w:val="center"/>
          </w:tcPr>
          <w:p w:rsidR="000418FC" w:rsidRPr="004520CA" w:rsidRDefault="000418FC" w:rsidP="006B5902">
            <w:pPr>
              <w:widowControl/>
              <w:jc w:val="left"/>
              <w:rPr>
                <w:rFonts w:ascii="仿宋_GB2312" w:eastAsia="仿宋_GB2312" w:hAnsi="宋体" w:cs="宋体" w:hint="eastAsia"/>
                <w:kern w:val="0"/>
                <w:sz w:val="24"/>
              </w:rPr>
            </w:pPr>
          </w:p>
        </w:tc>
      </w:tr>
    </w:tbl>
    <w:p w:rsidR="000418FC" w:rsidRPr="00CA5D96" w:rsidRDefault="000418FC" w:rsidP="000418FC">
      <w:pPr>
        <w:adjustRightInd w:val="0"/>
        <w:snapToGrid w:val="0"/>
        <w:spacing w:line="360" w:lineRule="auto"/>
        <w:rPr>
          <w:rFonts w:hint="eastAsia"/>
        </w:rPr>
      </w:pPr>
    </w:p>
    <w:p w:rsidR="008D4071" w:rsidRDefault="008D4071"/>
    <w:sectPr w:rsidR="008D4071">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F1" w:rsidRDefault="003B7F89" w:rsidP="000F0572">
    <w:pPr>
      <w:pStyle w:val="a3"/>
      <w:jc w:val="cente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18FC"/>
    <w:rsid w:val="000418FC"/>
    <w:rsid w:val="003B7F89"/>
    <w:rsid w:val="008D4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0418FC"/>
    <w:rPr>
      <w:rFonts w:ascii="Arial" w:hAnsi="Arial" w:cs="Arial"/>
      <w:sz w:val="20"/>
      <w:szCs w:val="20"/>
    </w:rPr>
  </w:style>
  <w:style w:type="paragraph" w:styleId="a3">
    <w:name w:val="footer"/>
    <w:basedOn w:val="a"/>
    <w:link w:val="Char"/>
    <w:rsid w:val="000418FC"/>
    <w:pPr>
      <w:tabs>
        <w:tab w:val="center" w:pos="4153"/>
        <w:tab w:val="right" w:pos="8306"/>
      </w:tabs>
      <w:snapToGrid w:val="0"/>
      <w:jc w:val="left"/>
    </w:pPr>
    <w:rPr>
      <w:sz w:val="18"/>
      <w:szCs w:val="18"/>
    </w:rPr>
  </w:style>
  <w:style w:type="character" w:customStyle="1" w:styleId="Char">
    <w:name w:val="页脚 Char"/>
    <w:basedOn w:val="a0"/>
    <w:link w:val="a3"/>
    <w:rsid w:val="000418FC"/>
    <w:rPr>
      <w:rFonts w:ascii="Times New Roman" w:eastAsia="宋体" w:hAnsi="Times New Roman" w:cs="Times New Roman"/>
      <w:sz w:val="18"/>
      <w:szCs w:val="18"/>
    </w:rPr>
  </w:style>
  <w:style w:type="character" w:styleId="a4">
    <w:name w:val="page number"/>
    <w:basedOn w:val="a0"/>
    <w:rsid w:val="000418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曹群:返回起草部门负责人</dc:creator>
  <cp:lastModifiedBy>曹群:返回起草部门负责人</cp:lastModifiedBy>
  <cp:revision>2</cp:revision>
  <dcterms:created xsi:type="dcterms:W3CDTF">2019-05-27T06:28:00Z</dcterms:created>
  <dcterms:modified xsi:type="dcterms:W3CDTF">2019-05-27T06:28:00Z</dcterms:modified>
</cp:coreProperties>
</file>