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560" w:lineRule="exact"/>
        <w:jc w:val="center"/>
        <w:rPr>
          <w:rFonts w:hint="eastAsia" w:ascii="方正小标宋简体" w:hAnsi="方正小标宋简体" w:eastAsia="方正小标宋简体" w:cs="华文中宋"/>
          <w:bCs/>
          <w:sz w:val="40"/>
          <w:szCs w:val="40"/>
          <w:highlight w:val="none"/>
          <w:u w:val="none"/>
        </w:rPr>
      </w:pPr>
      <w:bookmarkStart w:id="0" w:name="_Toc1126437746"/>
      <w:bookmarkStart w:id="1" w:name="_GoBack"/>
      <w:bookmarkEnd w:id="1"/>
    </w:p>
    <w:p>
      <w:pPr>
        <w:adjustRightInd w:val="0"/>
        <w:snapToGrid w:val="0"/>
        <w:spacing w:before="0" w:beforeLines="0" w:after="0" w:afterLines="0" w:line="600" w:lineRule="exact"/>
        <w:ind w:left="0" w:leftChars="0"/>
        <w:jc w:val="center"/>
        <w:rPr>
          <w:rFonts w:hint="eastAsia" w:ascii="方正小标宋简体" w:hAnsi="方正小标宋简体" w:eastAsia="方正小标宋简体" w:cs="华文中宋"/>
          <w:bCs/>
          <w:sz w:val="40"/>
          <w:szCs w:val="40"/>
          <w:highlight w:val="none"/>
          <w:u w:val="none"/>
          <w:lang w:eastAsia="zh-CN"/>
        </w:rPr>
      </w:pPr>
      <w:r>
        <w:rPr>
          <w:rFonts w:hint="eastAsia" w:ascii="方正小标宋简体" w:hAnsi="方正小标宋简体" w:eastAsia="方正小标宋简体" w:cs="华文中宋"/>
          <w:bCs/>
          <w:sz w:val="40"/>
          <w:szCs w:val="40"/>
          <w:highlight w:val="none"/>
          <w:u w:val="none"/>
        </w:rPr>
        <w:t>上海市历史文化名镇</w:t>
      </w:r>
      <w:r>
        <w:rPr>
          <w:rFonts w:hint="eastAsia" w:ascii="方正小标宋简体" w:hAnsi="方正小标宋简体" w:eastAsia="方正小标宋简体" w:cs="华文中宋"/>
          <w:bCs/>
          <w:sz w:val="40"/>
          <w:szCs w:val="40"/>
          <w:highlight w:val="none"/>
          <w:u w:val="none"/>
          <w:lang w:eastAsia="zh-CN"/>
        </w:rPr>
        <w:t>申报</w:t>
      </w:r>
      <w:r>
        <w:rPr>
          <w:rFonts w:hint="eastAsia" w:ascii="方正小标宋简体" w:hAnsi="方正小标宋简体" w:eastAsia="方正小标宋简体" w:cs="华文中宋"/>
          <w:bCs/>
          <w:sz w:val="40"/>
          <w:szCs w:val="40"/>
          <w:highlight w:val="none"/>
          <w:u w:val="none"/>
        </w:rPr>
        <w:t>办法</w:t>
      </w:r>
      <w:r>
        <w:rPr>
          <w:rFonts w:hint="eastAsia" w:ascii="方正小标宋简体" w:hAnsi="方正小标宋简体" w:eastAsia="方正小标宋简体" w:cs="华文中宋"/>
          <w:bCs/>
          <w:sz w:val="40"/>
          <w:szCs w:val="40"/>
          <w:highlight w:val="none"/>
          <w:u w:val="none"/>
          <w:lang w:eastAsia="zh-CN"/>
        </w:rPr>
        <w:t>（试行）</w:t>
      </w:r>
    </w:p>
    <w:bookmarkEnd w:id="0"/>
    <w:p>
      <w:pPr>
        <w:keepNext w:val="0"/>
        <w:keepLines w:val="0"/>
        <w:pageBreakBefore w:val="0"/>
        <w:widowControl w:val="0"/>
        <w:tabs>
          <w:tab w:val="center" w:pos="4349"/>
          <w:tab w:val="left" w:pos="5960"/>
        </w:tabs>
        <w:kinsoku/>
        <w:wordWrap/>
        <w:overflowPunct/>
        <w:topLinePunct w:val="0"/>
        <w:autoSpaceDE/>
        <w:autoSpaceDN/>
        <w:bidi w:val="0"/>
        <w:adjustRightInd w:val="0"/>
        <w:snapToGrid w:val="0"/>
        <w:spacing w:before="0" w:beforeLines="0" w:after="0" w:afterLines="0" w:line="600" w:lineRule="exact"/>
        <w:ind w:left="0" w:leftChars="0"/>
        <w:textAlignment w:val="auto"/>
        <w:rPr>
          <w:rFonts w:hint="eastAsia" w:ascii="楷体_GB2312" w:hAnsi="楷体_GB2312" w:eastAsia="仿宋_GB2312" w:cs="楷体_GB2312"/>
          <w:bCs/>
          <w:sz w:val="32"/>
          <w:szCs w:val="32"/>
          <w:highlight w:val="none"/>
          <w:u w:val="none"/>
          <w:lang w:eastAsia="zh-CN"/>
        </w:rPr>
      </w:pP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kern w:val="2"/>
          <w:sz w:val="32"/>
          <w:szCs w:val="32"/>
        </w:rPr>
      </w:pPr>
      <w:r>
        <w:rPr>
          <w:rFonts w:hint="eastAsia" w:ascii="楷体_GB2312" w:hAnsi="楷体_GB2312" w:eastAsia="仿宋_GB2312" w:cs="楷体_GB2312"/>
          <w:kern w:val="2"/>
          <w:sz w:val="32"/>
          <w:szCs w:val="32"/>
          <w:lang w:val="en-US" w:eastAsia="zh-CN" w:bidi="ar"/>
        </w:rPr>
        <w:t>为进一步规范本市历史文化名镇的申报、论证、认定等流程和标准，根据《中华人民共和国文物保护法》《历史文化名城名镇名村保护条例》《上海市历史文化名镇保护条例》，制定本办法。</w:t>
      </w:r>
    </w:p>
    <w:p>
      <w:pPr>
        <w:keepNext w:val="0"/>
        <w:keepLines w:val="0"/>
        <w:widowControl w:val="0"/>
        <w:numPr>
          <w:ilvl w:val="0"/>
          <w:numId w:val="1"/>
        </w:numPr>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黑体" w:hAnsi="宋体" w:eastAsia="黑体" w:cs="黑体"/>
          <w:b w:val="0"/>
          <w:bCs w:val="0"/>
          <w:kern w:val="2"/>
          <w:sz w:val="32"/>
          <w:szCs w:val="32"/>
        </w:rPr>
      </w:pPr>
      <w:r>
        <w:rPr>
          <w:rFonts w:hint="eastAsia" w:ascii="黑体" w:hAnsi="宋体" w:eastAsia="黑体" w:cs="黑体"/>
          <w:b w:val="0"/>
          <w:bCs w:val="0"/>
          <w:kern w:val="2"/>
          <w:sz w:val="32"/>
          <w:szCs w:val="32"/>
          <w:lang w:val="en-US" w:eastAsia="zh-CN" w:bidi="ar"/>
        </w:rPr>
        <w:t>申报的基本条件与评价标准</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2" w:firstLineChars="200"/>
        <w:jc w:val="both"/>
        <w:rPr>
          <w:rFonts w:hint="eastAsia" w:ascii="楷体_GB2312" w:eastAsia="楷体_GB2312" w:cs="楷体_GB2312"/>
          <w:b/>
          <w:bCs/>
          <w:kern w:val="2"/>
          <w:sz w:val="32"/>
          <w:szCs w:val="32"/>
        </w:rPr>
      </w:pPr>
      <w:r>
        <w:rPr>
          <w:rFonts w:hint="eastAsia" w:ascii="楷体_GB2312" w:hAnsi="Times New Roman" w:eastAsia="楷体_GB2312" w:cs="楷体_GB2312"/>
          <w:b/>
          <w:bCs/>
          <w:kern w:val="2"/>
          <w:sz w:val="32"/>
          <w:szCs w:val="32"/>
          <w:lang w:val="en-US" w:eastAsia="zh-CN" w:bidi="ar"/>
        </w:rPr>
        <w:t>申报上海市历史文化名镇的镇（以下简称“申报镇”）应当符合下列条件：</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2" w:firstLineChars="200"/>
        <w:jc w:val="both"/>
        <w:rPr>
          <w:rFonts w:hint="eastAsia" w:ascii="楷体_GB2312" w:eastAsia="楷体_GB2312" w:cs="楷体_GB2312"/>
          <w:b/>
          <w:bCs/>
          <w:kern w:val="2"/>
          <w:sz w:val="32"/>
          <w:szCs w:val="32"/>
        </w:rPr>
      </w:pPr>
      <w:r>
        <w:rPr>
          <w:rFonts w:hint="eastAsia" w:ascii="楷体_GB2312" w:hAnsi="Times New Roman" w:eastAsia="楷体_GB2312" w:cs="楷体_GB2312"/>
          <w:b/>
          <w:bCs/>
          <w:kern w:val="2"/>
          <w:sz w:val="32"/>
          <w:szCs w:val="32"/>
          <w:lang w:val="en-US" w:eastAsia="zh-CN" w:bidi="ar"/>
        </w:rPr>
        <w:t>（一）历史文化价值与风貌特色</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2" w:firstLineChars="200"/>
        <w:jc w:val="both"/>
        <w:rPr>
          <w:rFonts w:hint="eastAsia" w:ascii="楷体_GB2312" w:hAnsi="楷体_GB2312" w:eastAsia="仿宋_GB2312" w:cs="楷体_GB2312"/>
          <w:b/>
          <w:bCs/>
          <w:kern w:val="2"/>
          <w:sz w:val="32"/>
          <w:szCs w:val="32"/>
        </w:rPr>
      </w:pPr>
      <w:r>
        <w:rPr>
          <w:rFonts w:hint="eastAsia" w:ascii="仿宋_GB2312" w:hAnsi="Times New Roman" w:eastAsia="仿宋_GB2312" w:cs="仿宋_GB2312"/>
          <w:b/>
          <w:bCs/>
          <w:kern w:val="2"/>
          <w:sz w:val="32"/>
          <w:szCs w:val="32"/>
          <w:lang w:val="en-US" w:eastAsia="zh-CN" w:bidi="ar"/>
        </w:rPr>
        <w:t>申报镇</w:t>
      </w:r>
      <w:r>
        <w:rPr>
          <w:rFonts w:hint="eastAsia" w:ascii="楷体_GB2312" w:hAnsi="楷体_GB2312" w:eastAsia="仿宋_GB2312" w:cs="楷体_GB2312"/>
          <w:b/>
          <w:bCs/>
          <w:kern w:val="2"/>
          <w:sz w:val="32"/>
          <w:szCs w:val="32"/>
          <w:lang w:val="en-US" w:eastAsia="zh-CN" w:bidi="ar"/>
        </w:rPr>
        <w:t>应当具有下列历史文化价值之一</w:t>
      </w:r>
      <w:r>
        <w:rPr>
          <w:rFonts w:hint="eastAsia" w:ascii="仿宋_GB2312" w:hAnsi="Times New Roman" w:eastAsia="仿宋_GB2312" w:cs="仿宋_GB2312"/>
          <w:b/>
          <w:bCs/>
          <w:kern w:val="2"/>
          <w:sz w:val="32"/>
          <w:szCs w:val="32"/>
          <w:lang w:val="en-US" w:eastAsia="zh-CN" w:bidi="ar"/>
        </w:rPr>
        <w:t>：</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kern w:val="2"/>
          <w:sz w:val="32"/>
          <w:szCs w:val="32"/>
        </w:rPr>
      </w:pPr>
      <w:r>
        <w:rPr>
          <w:rFonts w:hint="eastAsia" w:ascii="楷体_GB2312" w:hAnsi="Times New Roman" w:eastAsia="仿宋_GB2312" w:cs="楷体_GB2312"/>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对推动全国</w:t>
      </w:r>
      <w:r>
        <w:rPr>
          <w:rFonts w:hint="eastAsia" w:ascii="楷体_GB2312" w:hAnsi="楷体_GB2312" w:eastAsia="仿宋_GB2312" w:cs="楷体_GB2312"/>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某一地区</w:t>
      </w:r>
      <w:r>
        <w:rPr>
          <w:rFonts w:hint="eastAsia" w:ascii="楷体_GB2312" w:hAnsi="楷体_GB2312" w:eastAsia="仿宋_GB2312" w:cs="楷体_GB2312"/>
          <w:kern w:val="2"/>
          <w:sz w:val="32"/>
          <w:szCs w:val="32"/>
          <w:lang w:val="en-US" w:eastAsia="zh-CN" w:bidi="ar"/>
        </w:rPr>
        <w:t>或本市</w:t>
      </w:r>
      <w:r>
        <w:rPr>
          <w:rFonts w:hint="eastAsia" w:ascii="仿宋_GB2312" w:hAnsi="Times New Roman" w:eastAsia="仿宋_GB2312" w:cs="仿宋_GB2312"/>
          <w:kern w:val="2"/>
          <w:sz w:val="32"/>
          <w:szCs w:val="32"/>
          <w:lang w:val="en-US" w:eastAsia="zh-CN" w:bidi="ar"/>
        </w:rPr>
        <w:t>的经济社会发展起过重要作用，具有全国或地区范围的影响；或系当地水陆交通中心，且为闻名遐迩的客流、货流、物流集散地。</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kern w:val="2"/>
          <w:sz w:val="32"/>
          <w:szCs w:val="32"/>
        </w:rPr>
      </w:pPr>
      <w:r>
        <w:rPr>
          <w:rFonts w:hint="eastAsia" w:ascii="楷体_GB2312" w:hAnsi="Times New Roman" w:eastAsia="仿宋_GB2312" w:cs="楷体_GB2312"/>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能够体现镇古代悠久历史、近现代变革发展、中国共产党诞生与发展、新中国建设发展、改革开放伟大进程等特定历史时期的建设成就。</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kern w:val="2"/>
          <w:sz w:val="32"/>
          <w:szCs w:val="32"/>
        </w:rPr>
      </w:pPr>
      <w:r>
        <w:rPr>
          <w:rFonts w:hint="eastAsia" w:ascii="楷体_GB2312" w:hAnsi="Times New Roman" w:eastAsia="仿宋_GB2312" w:cs="楷体_GB2312"/>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与历史名人和重大历史事件、重大工程相关。</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kern w:val="2"/>
          <w:sz w:val="32"/>
          <w:szCs w:val="32"/>
        </w:rPr>
      </w:pPr>
      <w:r>
        <w:rPr>
          <w:rFonts w:hint="eastAsia" w:ascii="楷体_GB2312" w:hAnsi="Times New Roman" w:eastAsia="仿宋_GB2312" w:cs="楷体_GB2312"/>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镇选址、空间格局、肌理风貌、建筑技艺、</w:t>
      </w:r>
      <w:r>
        <w:rPr>
          <w:rFonts w:hint="eastAsia" w:ascii="楷体_GB2312" w:hAnsi="楷体_GB2312" w:eastAsia="仿宋_GB2312" w:cs="楷体_GB2312"/>
          <w:kern w:val="2"/>
          <w:sz w:val="32"/>
          <w:szCs w:val="32"/>
          <w:lang w:val="en-US" w:eastAsia="zh-CN" w:bidi="ar"/>
        </w:rPr>
        <w:t>生活</w:t>
      </w:r>
      <w:r>
        <w:rPr>
          <w:rFonts w:hint="eastAsia" w:ascii="仿宋_GB2312" w:hAnsi="Times New Roman" w:eastAsia="仿宋_GB2312" w:cs="仿宋_GB2312"/>
          <w:kern w:val="2"/>
          <w:sz w:val="32"/>
          <w:szCs w:val="32"/>
          <w:lang w:val="en-US" w:eastAsia="zh-CN" w:bidi="ar"/>
        </w:rPr>
        <w:t>景观等体现传统文化、民族特色、地域特征、时代风格或延续特定的</w:t>
      </w:r>
      <w:r>
        <w:rPr>
          <w:rFonts w:hint="eastAsia" w:ascii="楷体_GB2312" w:hAnsi="楷体_GB2312" w:eastAsia="仿宋_GB2312" w:cs="楷体_GB2312"/>
          <w:kern w:val="2"/>
          <w:sz w:val="32"/>
          <w:szCs w:val="32"/>
          <w:lang w:val="en-US" w:eastAsia="zh-CN" w:bidi="ar"/>
        </w:rPr>
        <w:t>生活</w:t>
      </w:r>
      <w:r>
        <w:rPr>
          <w:rFonts w:hint="eastAsia" w:ascii="仿宋_GB2312" w:hAnsi="Times New Roman" w:eastAsia="仿宋_GB2312" w:cs="仿宋_GB2312"/>
          <w:kern w:val="2"/>
          <w:sz w:val="32"/>
          <w:szCs w:val="32"/>
          <w:lang w:val="en-US" w:eastAsia="zh-CN" w:bidi="ar"/>
        </w:rPr>
        <w:t>生产方式。</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kern w:val="2"/>
          <w:sz w:val="32"/>
          <w:szCs w:val="32"/>
        </w:rPr>
      </w:pPr>
      <w:r>
        <w:rPr>
          <w:rFonts w:hint="eastAsia" w:ascii="楷体_GB2312" w:hAnsi="Times New Roman" w:eastAsia="仿宋_GB2312" w:cs="楷体_GB2312"/>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保留有丰富的非物质文化遗产，保持</w:t>
      </w:r>
      <w:r>
        <w:rPr>
          <w:rFonts w:hint="eastAsia" w:ascii="楷体_GB2312" w:hAnsi="楷体_GB2312" w:eastAsia="仿宋_GB2312" w:cs="楷体_GB2312"/>
          <w:kern w:val="2"/>
          <w:sz w:val="32"/>
          <w:szCs w:val="32"/>
          <w:lang w:val="en-US" w:eastAsia="zh-CN" w:bidi="ar"/>
        </w:rPr>
        <w:t>活态传承</w:t>
      </w:r>
      <w:r>
        <w:rPr>
          <w:rFonts w:hint="eastAsia" w:ascii="仿宋_GB2312" w:hAnsi="Times New Roman" w:eastAsia="仿宋_GB2312" w:cs="仿宋_GB2312"/>
          <w:kern w:val="2"/>
          <w:sz w:val="32"/>
          <w:szCs w:val="32"/>
          <w:lang w:val="en-US" w:eastAsia="zh-CN" w:bidi="ar"/>
        </w:rPr>
        <w:t>性，承载历史记忆和情感。</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2" w:firstLineChars="200"/>
        <w:jc w:val="both"/>
        <w:rPr>
          <w:rFonts w:hint="eastAsia" w:ascii="楷体_GB2312" w:hAnsi="楷体_GB2312" w:eastAsia="仿宋_GB2312" w:cs="楷体_GB2312"/>
          <w:b/>
          <w:bCs/>
          <w:kern w:val="2"/>
          <w:sz w:val="32"/>
          <w:szCs w:val="32"/>
        </w:rPr>
      </w:pPr>
      <w:r>
        <w:rPr>
          <w:rFonts w:hint="eastAsia" w:ascii="仿宋_GB2312" w:hAnsi="Times New Roman" w:eastAsia="仿宋_GB2312" w:cs="仿宋_GB2312"/>
          <w:b/>
          <w:bCs/>
          <w:kern w:val="2"/>
          <w:sz w:val="32"/>
          <w:szCs w:val="32"/>
          <w:lang w:val="en-US" w:eastAsia="zh-CN" w:bidi="ar"/>
        </w:rPr>
        <w:t>申报镇应当具有以下比较明显的地域风貌特色：</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kern w:val="2"/>
          <w:sz w:val="32"/>
          <w:szCs w:val="32"/>
        </w:rPr>
      </w:pPr>
      <w:r>
        <w:rPr>
          <w:rFonts w:hint="eastAsia" w:ascii="仿宋_GB2312" w:hAnsi="Times New Roman" w:eastAsia="仿宋_GB2312" w:cs="仿宋_GB2312"/>
          <w:kern w:val="2"/>
          <w:sz w:val="32"/>
          <w:szCs w:val="32"/>
          <w:lang w:val="en-US" w:eastAsia="zh-CN" w:bidi="ar"/>
        </w:rPr>
        <w:t>建筑遗产、文物古迹和传统文化比较集中，能较完整地反映某一历史时期的传统风貌、地方特色和民族风情，具有较高的历史、文化、艺术和科学价值，现存有</w:t>
      </w:r>
      <w:r>
        <w:rPr>
          <w:rFonts w:hint="eastAsia" w:ascii="楷体_GB2312" w:hAnsi="楷体_GB2312" w:eastAsia="仿宋_GB2312" w:cs="楷体_GB2312"/>
          <w:kern w:val="2"/>
          <w:sz w:val="32"/>
          <w:szCs w:val="32"/>
          <w:lang w:val="en-US" w:eastAsia="zh-CN" w:bidi="ar"/>
        </w:rPr>
        <w:t>清代以前建造</w:t>
      </w:r>
      <w:r>
        <w:rPr>
          <w:rFonts w:hint="eastAsia" w:ascii="仿宋_GB2312" w:hAnsi="Times New Roman" w:eastAsia="仿宋_GB2312" w:cs="仿宋_GB2312"/>
          <w:kern w:val="2"/>
          <w:sz w:val="32"/>
          <w:szCs w:val="32"/>
          <w:lang w:val="en-US" w:eastAsia="zh-CN" w:bidi="ar"/>
        </w:rPr>
        <w:t>或在中国革命历史中有重大影响的成片</w:t>
      </w:r>
      <w:r>
        <w:rPr>
          <w:rFonts w:hint="eastAsia" w:ascii="楷体_GB2312" w:hAnsi="楷体_GB2312" w:eastAsia="仿宋_GB2312" w:cs="楷体_GB2312"/>
          <w:kern w:val="2"/>
          <w:sz w:val="32"/>
          <w:szCs w:val="32"/>
          <w:lang w:val="en-US" w:eastAsia="zh-CN" w:bidi="ar"/>
        </w:rPr>
        <w:t>文物保护单位、未定级不可移动文物及历史建筑</w:t>
      </w:r>
      <w:r>
        <w:rPr>
          <w:rFonts w:hint="eastAsia" w:ascii="仿宋_GB2312" w:hAnsi="Times New Roman" w:eastAsia="仿宋_GB2312" w:cs="仿宋_GB2312"/>
          <w:kern w:val="2"/>
          <w:sz w:val="32"/>
          <w:szCs w:val="32"/>
          <w:lang w:val="en-US" w:eastAsia="zh-CN" w:bidi="ar"/>
        </w:rPr>
        <w:t>群、纪念物、遗址等，基本风貌保持完好。</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2" w:firstLineChars="200"/>
        <w:jc w:val="both"/>
        <w:rPr>
          <w:rFonts w:hint="eastAsia" w:ascii="楷体_GB2312" w:eastAsia="楷体_GB2312" w:cs="楷体_GB2312"/>
          <w:kern w:val="2"/>
          <w:sz w:val="32"/>
          <w:szCs w:val="32"/>
        </w:rPr>
      </w:pPr>
      <w:r>
        <w:rPr>
          <w:rFonts w:hint="eastAsia" w:ascii="楷体_GB2312" w:hAnsi="Times New Roman" w:eastAsia="楷体_GB2312" w:cs="楷体_GB2312"/>
          <w:b/>
          <w:bCs/>
          <w:kern w:val="2"/>
          <w:sz w:val="32"/>
          <w:szCs w:val="32"/>
          <w:lang w:val="en-US" w:eastAsia="zh-CN" w:bidi="ar"/>
        </w:rPr>
        <w:t>（二）文物保护单位、未定级不可移动文物及历史建筑群实物和风貌迄今的保存完好程度</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2" w:firstLineChars="200"/>
        <w:jc w:val="both"/>
        <w:rPr>
          <w:rFonts w:hint="eastAsia" w:ascii="楷体_GB2312" w:hAnsi="楷体_GB2312" w:eastAsia="仿宋_GB2312" w:cs="楷体_GB2312"/>
          <w:b/>
          <w:bCs/>
          <w:kern w:val="2"/>
          <w:sz w:val="32"/>
          <w:szCs w:val="32"/>
        </w:rPr>
      </w:pPr>
      <w:r>
        <w:rPr>
          <w:rFonts w:hint="eastAsia" w:ascii="楷体_GB2312" w:hAnsi="楷体_GB2312" w:eastAsia="仿宋_GB2312" w:cs="楷体_GB2312"/>
          <w:b/>
          <w:bCs/>
          <w:kern w:val="2"/>
          <w:sz w:val="32"/>
          <w:szCs w:val="32"/>
          <w:lang w:val="en-US" w:eastAsia="zh-CN" w:bidi="ar"/>
        </w:rPr>
        <w:t>申报镇应当具备下列条件之一：</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kern w:val="2"/>
          <w:sz w:val="32"/>
          <w:szCs w:val="32"/>
        </w:rPr>
      </w:pPr>
      <w:r>
        <w:rPr>
          <w:rFonts w:hint="eastAsia" w:ascii="楷体_GB2312" w:hAnsi="楷体_GB2312" w:eastAsia="楷体_GB2312" w:cs="楷体_GB2312"/>
          <w:kern w:val="2"/>
          <w:sz w:val="32"/>
          <w:szCs w:val="32"/>
          <w:lang w:val="en-US" w:eastAsia="zh-CN" w:bidi="ar"/>
        </w:rPr>
        <w:t>1.</w:t>
      </w:r>
      <w:r>
        <w:rPr>
          <w:rFonts w:hint="eastAsia" w:ascii="楷体_GB2312" w:hAnsi="楷体_GB2312" w:eastAsia="仿宋_GB2312" w:cs="楷体_GB2312"/>
          <w:kern w:val="2"/>
          <w:sz w:val="32"/>
          <w:szCs w:val="32"/>
          <w:lang w:val="en-US" w:eastAsia="zh-CN" w:bidi="ar"/>
        </w:rPr>
        <w:t>镇内文物保护单位、未定级不可移动文物及历史建筑群、建筑物及其建筑细部乃至周边环境基本上原貌保存完好；</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kern w:val="2"/>
          <w:sz w:val="32"/>
          <w:szCs w:val="32"/>
        </w:rPr>
      </w:pPr>
      <w:r>
        <w:rPr>
          <w:rFonts w:hint="eastAsia" w:ascii="楷体_GB2312" w:hAnsi="楷体_GB2312" w:eastAsia="楷体_GB2312" w:cs="楷体_GB2312"/>
          <w:kern w:val="2"/>
          <w:sz w:val="32"/>
          <w:szCs w:val="32"/>
          <w:lang w:val="en-US" w:eastAsia="zh-CN" w:bidi="ar"/>
        </w:rPr>
        <w:t>2.</w:t>
      </w:r>
      <w:r>
        <w:rPr>
          <w:rFonts w:hint="eastAsia" w:ascii="楷体_GB2312" w:hAnsi="楷体_GB2312" w:eastAsia="仿宋_GB2312" w:cs="楷体_GB2312"/>
          <w:kern w:val="2"/>
          <w:sz w:val="32"/>
          <w:szCs w:val="32"/>
          <w:lang w:val="en-US" w:eastAsia="zh-CN" w:bidi="ar"/>
        </w:rPr>
        <w:t>因年代久远，原建筑群、建筑物及其周边环境虽曾倒塌破坏，但已按原貌整修恢复；</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kern w:val="2"/>
          <w:sz w:val="32"/>
          <w:szCs w:val="32"/>
        </w:rPr>
      </w:pPr>
      <w:r>
        <w:rPr>
          <w:rFonts w:hint="eastAsia" w:ascii="楷体_GB2312" w:hAnsi="楷体_GB2312" w:eastAsia="楷体_GB2312" w:cs="楷体_GB2312"/>
          <w:kern w:val="2"/>
          <w:sz w:val="32"/>
          <w:szCs w:val="32"/>
          <w:lang w:val="en-US" w:eastAsia="zh-CN" w:bidi="ar"/>
        </w:rPr>
        <w:t>3.</w:t>
      </w:r>
      <w:r>
        <w:rPr>
          <w:rFonts w:hint="eastAsia" w:ascii="楷体_GB2312" w:hAnsi="楷体_GB2312" w:eastAsia="仿宋_GB2312" w:cs="楷体_GB2312"/>
          <w:kern w:val="2"/>
          <w:sz w:val="32"/>
          <w:szCs w:val="32"/>
          <w:lang w:val="en-US" w:eastAsia="zh-CN" w:bidi="ar"/>
        </w:rPr>
        <w:t>原建筑群及其周边环境虽部分倒塌破坏，但“骨架”尚存，部分建筑细部亦保存完好，依据保存实物的结构、构造和样式可以整体修复原貌。</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2" w:firstLineChars="200"/>
        <w:jc w:val="both"/>
        <w:rPr>
          <w:rFonts w:hint="eastAsia" w:ascii="楷体_GB2312" w:eastAsia="楷体_GB2312" w:cs="楷体_GB2312"/>
          <w:b/>
          <w:bCs/>
          <w:kern w:val="2"/>
          <w:sz w:val="32"/>
          <w:szCs w:val="32"/>
        </w:rPr>
      </w:pPr>
      <w:r>
        <w:rPr>
          <w:rFonts w:hint="eastAsia" w:ascii="楷体_GB2312" w:hAnsi="Times New Roman" w:eastAsia="楷体_GB2312" w:cs="楷体_GB2312"/>
          <w:b/>
          <w:bCs/>
          <w:kern w:val="2"/>
          <w:sz w:val="32"/>
          <w:szCs w:val="32"/>
          <w:lang w:val="en-US" w:eastAsia="zh-CN" w:bidi="ar"/>
        </w:rPr>
        <w:t>（三）现状文物保护单位、未定级不可移动文物及历史建筑集中成片</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kern w:val="2"/>
          <w:sz w:val="32"/>
          <w:szCs w:val="32"/>
        </w:rPr>
      </w:pPr>
      <w:r>
        <w:rPr>
          <w:rFonts w:hint="eastAsia" w:ascii="楷体_GB2312" w:hAnsi="楷体_GB2312" w:eastAsia="仿宋_GB2312" w:cs="楷体_GB2312"/>
          <w:kern w:val="2"/>
          <w:sz w:val="32"/>
          <w:szCs w:val="32"/>
          <w:lang w:val="en-US" w:eastAsia="zh-CN" w:bidi="ar"/>
        </w:rPr>
        <w:t>根据上述申报条件，制定《上海市历史文化名镇评价指标体系》（暂行）（附件</w:t>
      </w:r>
      <w:r>
        <w:rPr>
          <w:rFonts w:hint="eastAsia" w:ascii="楷体_GB2312" w:hAnsi="楷体_GB2312" w:eastAsia="楷体_GB2312" w:cs="楷体_GB2312"/>
          <w:kern w:val="2"/>
          <w:sz w:val="32"/>
          <w:szCs w:val="32"/>
          <w:lang w:val="en-US" w:eastAsia="zh-CN" w:bidi="ar"/>
        </w:rPr>
        <w:t>1</w:t>
      </w:r>
      <w:r>
        <w:rPr>
          <w:rFonts w:hint="eastAsia" w:ascii="仿宋_GB2312" w:hAnsi="楷体_GB2312" w:eastAsia="仿宋_GB2312" w:cs="仿宋_GB2312"/>
          <w:kern w:val="2"/>
          <w:sz w:val="32"/>
          <w:szCs w:val="32"/>
          <w:lang w:val="en-US" w:eastAsia="zh-CN" w:bidi="ar"/>
        </w:rPr>
        <w:t>），包含价值特色和保护措施</w:t>
      </w:r>
      <w:r>
        <w:rPr>
          <w:rFonts w:hint="eastAsia" w:ascii="楷体_GB2312" w:hAnsi="楷体_GB2312" w:eastAsia="楷体_GB2312" w:cs="楷体_GB2312"/>
          <w:kern w:val="2"/>
          <w:sz w:val="32"/>
          <w:szCs w:val="32"/>
          <w:lang w:val="en-US" w:eastAsia="zh-CN" w:bidi="ar"/>
        </w:rPr>
        <w:t>2</w:t>
      </w:r>
      <w:r>
        <w:rPr>
          <w:rFonts w:hint="eastAsia" w:ascii="仿宋_GB2312" w:hAnsi="楷体_GB2312" w:eastAsia="仿宋_GB2312" w:cs="仿宋_GB2312"/>
          <w:kern w:val="2"/>
          <w:sz w:val="32"/>
          <w:szCs w:val="32"/>
          <w:lang w:val="en-US" w:eastAsia="zh-CN" w:bidi="ar"/>
        </w:rPr>
        <w:t>大项、</w:t>
      </w:r>
      <w:r>
        <w:rPr>
          <w:rFonts w:hint="eastAsia" w:ascii="楷体_GB2312" w:hAnsi="楷体_GB2312" w:eastAsia="楷体_GB2312" w:cs="楷体_GB2312"/>
          <w:kern w:val="2"/>
          <w:sz w:val="32"/>
          <w:szCs w:val="32"/>
          <w:lang w:val="en-US" w:eastAsia="zh-CN" w:bidi="ar"/>
        </w:rPr>
        <w:t>12</w:t>
      </w:r>
      <w:r>
        <w:rPr>
          <w:rFonts w:hint="eastAsia" w:ascii="仿宋_GB2312" w:hAnsi="楷体_GB2312" w:eastAsia="仿宋_GB2312" w:cs="仿宋_GB2312"/>
          <w:kern w:val="2"/>
          <w:sz w:val="32"/>
          <w:szCs w:val="32"/>
          <w:lang w:val="en-US" w:eastAsia="zh-CN" w:bidi="ar"/>
        </w:rPr>
        <w:t>小项，总分</w:t>
      </w:r>
      <w:r>
        <w:rPr>
          <w:rFonts w:hint="eastAsia" w:ascii="楷体_GB2312" w:hAnsi="楷体_GB2312" w:eastAsia="楷体_GB2312" w:cs="楷体_GB2312"/>
          <w:kern w:val="2"/>
          <w:sz w:val="32"/>
          <w:szCs w:val="32"/>
          <w:lang w:val="en-US" w:eastAsia="zh-CN" w:bidi="ar"/>
        </w:rPr>
        <w:t>100</w:t>
      </w:r>
      <w:r>
        <w:rPr>
          <w:rFonts w:hint="eastAsia" w:ascii="仿宋_GB2312" w:hAnsi="楷体_GB2312" w:eastAsia="仿宋_GB2312" w:cs="仿宋_GB2312"/>
          <w:kern w:val="2"/>
          <w:sz w:val="32"/>
          <w:szCs w:val="32"/>
          <w:lang w:val="en-US" w:eastAsia="zh-CN" w:bidi="ar"/>
        </w:rPr>
        <w:t>分。</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2" w:firstLineChars="200"/>
        <w:jc w:val="both"/>
        <w:rPr>
          <w:rFonts w:hint="eastAsia" w:ascii="楷体_GB2312" w:eastAsia="楷体_GB2312" w:cs="楷体_GB2312"/>
          <w:b/>
          <w:bCs/>
          <w:kern w:val="2"/>
          <w:sz w:val="32"/>
          <w:szCs w:val="32"/>
        </w:rPr>
      </w:pPr>
      <w:r>
        <w:rPr>
          <w:rFonts w:hint="eastAsia" w:ascii="楷体_GB2312" w:hAnsi="Times New Roman" w:eastAsia="楷体_GB2312" w:cs="楷体_GB2312"/>
          <w:b/>
          <w:bCs/>
          <w:kern w:val="2"/>
          <w:sz w:val="32"/>
          <w:szCs w:val="32"/>
          <w:lang w:val="en-US" w:eastAsia="zh-CN" w:bidi="ar"/>
        </w:rPr>
        <w:t>（四）其他要求</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kern w:val="2"/>
          <w:sz w:val="32"/>
          <w:szCs w:val="32"/>
        </w:rPr>
      </w:pPr>
      <w:r>
        <w:rPr>
          <w:rFonts w:hint="eastAsia" w:ascii="楷体_GB2312" w:hAnsi="楷体_GB2312" w:eastAsia="仿宋_GB2312" w:cs="楷体_GB2312"/>
          <w:kern w:val="2"/>
          <w:sz w:val="32"/>
          <w:szCs w:val="32"/>
          <w:lang w:val="en-US" w:eastAsia="zh-CN" w:bidi="ar"/>
        </w:rPr>
        <w:t>近</w:t>
      </w:r>
      <w:r>
        <w:rPr>
          <w:rFonts w:hint="eastAsia" w:ascii="楷体_GB2312" w:hAnsi="楷体_GB2312" w:eastAsia="楷体_GB2312" w:cs="楷体_GB2312"/>
          <w:kern w:val="2"/>
          <w:sz w:val="32"/>
          <w:szCs w:val="32"/>
          <w:lang w:val="en-US" w:eastAsia="zh-CN" w:bidi="ar"/>
        </w:rPr>
        <w:t>3</w:t>
      </w:r>
      <w:r>
        <w:rPr>
          <w:rFonts w:hint="eastAsia" w:ascii="仿宋_GB2312" w:hAnsi="楷体_GB2312" w:eastAsia="仿宋_GB2312" w:cs="仿宋_GB2312"/>
          <w:kern w:val="2"/>
          <w:sz w:val="32"/>
          <w:szCs w:val="32"/>
          <w:lang w:val="en-US" w:eastAsia="zh-CN" w:bidi="ar"/>
        </w:rPr>
        <w:t>年未发生大拆大建、拆真建假、破坏保护对象等致使镇历史文化价值受到严重影响的事件，未发生重大文物安全事故和重大文物违法事件。</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黑体" w:hAnsi="宋体" w:eastAsia="黑体" w:cs="黑体"/>
          <w:b w:val="0"/>
          <w:bCs w:val="0"/>
          <w:kern w:val="2"/>
          <w:sz w:val="32"/>
          <w:szCs w:val="32"/>
        </w:rPr>
      </w:pPr>
      <w:r>
        <w:rPr>
          <w:rFonts w:hint="eastAsia" w:ascii="黑体" w:hAnsi="宋体" w:eastAsia="黑体" w:cs="黑体"/>
          <w:b w:val="0"/>
          <w:bCs w:val="0"/>
          <w:kern w:val="2"/>
          <w:sz w:val="32"/>
          <w:szCs w:val="32"/>
          <w:lang w:val="en-US" w:eastAsia="zh-CN" w:bidi="ar"/>
        </w:rPr>
        <w:t>二、申报办法</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2" w:firstLineChars="200"/>
        <w:jc w:val="both"/>
        <w:rPr>
          <w:rFonts w:hint="eastAsia" w:ascii="楷体_GB2312" w:eastAsia="楷体_GB2312" w:cs="楷体_GB2312"/>
          <w:b/>
          <w:bCs/>
          <w:kern w:val="2"/>
          <w:sz w:val="32"/>
          <w:szCs w:val="32"/>
        </w:rPr>
      </w:pPr>
      <w:r>
        <w:rPr>
          <w:rFonts w:hint="eastAsia" w:ascii="楷体_GB2312" w:hAnsi="Times New Roman" w:eastAsia="楷体_GB2312" w:cs="楷体_GB2312"/>
          <w:b/>
          <w:bCs/>
          <w:kern w:val="2"/>
          <w:sz w:val="32"/>
          <w:szCs w:val="32"/>
          <w:lang w:val="en-US" w:eastAsia="zh-CN" w:bidi="ar"/>
        </w:rPr>
        <w:t>（一）申报及认定程序</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2" w:firstLineChars="200"/>
        <w:jc w:val="both"/>
        <w:rPr>
          <w:rFonts w:hint="eastAsia" w:ascii="楷体_GB2312" w:hAnsi="楷体_GB2312" w:eastAsia="仿宋_GB2312" w:cs="楷体_GB2312"/>
          <w:kern w:val="2"/>
          <w:sz w:val="32"/>
          <w:szCs w:val="32"/>
        </w:rPr>
      </w:pPr>
      <w:r>
        <w:rPr>
          <w:rFonts w:hint="eastAsia" w:ascii="楷体_GB2312" w:hAnsi="楷体_GB2312" w:eastAsia="楷体_GB2312" w:cs="楷体_GB2312"/>
          <w:b/>
          <w:bCs/>
          <w:kern w:val="2"/>
          <w:sz w:val="32"/>
          <w:szCs w:val="32"/>
          <w:lang w:val="en-US" w:eastAsia="zh-CN" w:bidi="ar"/>
        </w:rPr>
        <w:t>1.</w:t>
      </w:r>
      <w:r>
        <w:rPr>
          <w:rFonts w:hint="eastAsia" w:ascii="楷体_GB2312" w:hAnsi="楷体_GB2312" w:eastAsia="仿宋_GB2312" w:cs="楷体_GB2312"/>
          <w:b/>
          <w:bCs/>
          <w:kern w:val="2"/>
          <w:sz w:val="32"/>
          <w:szCs w:val="32"/>
          <w:lang w:val="en-US" w:eastAsia="zh-CN" w:bidi="ar"/>
        </w:rPr>
        <w:t>申报。</w:t>
      </w:r>
      <w:r>
        <w:rPr>
          <w:rFonts w:hint="eastAsia" w:ascii="楷体_GB2312" w:hAnsi="楷体_GB2312" w:eastAsia="仿宋_GB2312" w:cs="楷体_GB2312"/>
          <w:kern w:val="2"/>
          <w:sz w:val="32"/>
          <w:szCs w:val="32"/>
          <w:lang w:val="en-US" w:eastAsia="zh-CN" w:bidi="ar"/>
        </w:rPr>
        <w:t>申报上海市历史文化名镇由申报镇所在地区人民政府根据本办法和其他有关法律、行政法规要求准备材料、提出申请，报市住房城乡建设管理部门。</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2" w:firstLineChars="200"/>
        <w:jc w:val="both"/>
        <w:rPr>
          <w:rFonts w:hint="eastAsia" w:ascii="楷体_GB2312" w:hAnsi="楷体_GB2312" w:eastAsia="仿宋_GB2312" w:cs="楷体_GB2312"/>
          <w:kern w:val="2"/>
          <w:sz w:val="32"/>
          <w:szCs w:val="32"/>
        </w:rPr>
      </w:pPr>
      <w:r>
        <w:rPr>
          <w:rFonts w:hint="eastAsia" w:ascii="楷体_GB2312" w:hAnsi="楷体_GB2312" w:eastAsia="楷体_GB2312" w:cs="楷体_GB2312"/>
          <w:b/>
          <w:bCs/>
          <w:kern w:val="2"/>
          <w:sz w:val="32"/>
          <w:szCs w:val="32"/>
          <w:lang w:val="en-US" w:eastAsia="zh-CN" w:bidi="ar"/>
        </w:rPr>
        <w:t>2.</w:t>
      </w:r>
      <w:r>
        <w:rPr>
          <w:rFonts w:hint="eastAsia" w:ascii="楷体_GB2312" w:hAnsi="楷体_GB2312" w:eastAsia="仿宋_GB2312" w:cs="楷体_GB2312"/>
          <w:b/>
          <w:bCs/>
          <w:kern w:val="2"/>
          <w:sz w:val="32"/>
          <w:szCs w:val="32"/>
          <w:lang w:val="en-US" w:eastAsia="zh-CN" w:bidi="ar"/>
        </w:rPr>
        <w:t>论证。</w:t>
      </w:r>
      <w:r>
        <w:rPr>
          <w:rFonts w:hint="eastAsia" w:ascii="楷体_GB2312" w:hAnsi="楷体_GB2312" w:eastAsia="仿宋_GB2312" w:cs="楷体_GB2312"/>
          <w:kern w:val="2"/>
          <w:sz w:val="32"/>
          <w:szCs w:val="32"/>
          <w:lang w:val="en-US" w:eastAsia="zh-CN" w:bidi="ar"/>
        </w:rPr>
        <w:t>市住房城乡建设管理部门会同市规划资源、市文物管理部门组织专家根据《上海市历史文化名镇评价指标体系》（暂行）对各地申报材料进行论证，并实地查看，经综合评议确定入围建议名单。</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2" w:firstLineChars="200"/>
        <w:jc w:val="both"/>
        <w:rPr>
          <w:rFonts w:hint="eastAsia" w:ascii="楷体_GB2312" w:hAnsi="楷体_GB2312" w:eastAsia="仿宋_GB2312" w:cs="楷体_GB2312"/>
          <w:kern w:val="2"/>
          <w:sz w:val="32"/>
          <w:szCs w:val="32"/>
        </w:rPr>
      </w:pPr>
      <w:r>
        <w:rPr>
          <w:rFonts w:hint="eastAsia" w:ascii="楷体_GB2312" w:hAnsi="楷体_GB2312" w:eastAsia="楷体_GB2312" w:cs="楷体_GB2312"/>
          <w:b/>
          <w:bCs/>
          <w:kern w:val="2"/>
          <w:sz w:val="32"/>
          <w:szCs w:val="32"/>
          <w:lang w:val="en-US" w:eastAsia="zh-CN" w:bidi="ar"/>
        </w:rPr>
        <w:t>3.</w:t>
      </w:r>
      <w:r>
        <w:rPr>
          <w:rFonts w:hint="eastAsia" w:ascii="楷体_GB2312" w:hAnsi="楷体_GB2312" w:eastAsia="仿宋_GB2312" w:cs="楷体_GB2312"/>
          <w:b/>
          <w:bCs/>
          <w:kern w:val="2"/>
          <w:sz w:val="32"/>
          <w:szCs w:val="32"/>
          <w:lang w:val="en-US" w:eastAsia="zh-CN" w:bidi="ar"/>
        </w:rPr>
        <w:t>认定。</w:t>
      </w:r>
      <w:r>
        <w:rPr>
          <w:rFonts w:hint="eastAsia" w:ascii="楷体_GB2312" w:hAnsi="楷体_GB2312" w:eastAsia="仿宋_GB2312" w:cs="楷体_GB2312"/>
          <w:kern w:val="2"/>
          <w:sz w:val="32"/>
          <w:szCs w:val="32"/>
          <w:lang w:val="en-US" w:eastAsia="zh-CN" w:bidi="ar"/>
        </w:rPr>
        <w:t>市住房城乡建设管理部门会同市规划资源、市文物管理部门将入选的上海市历史文化名镇建议名单附专家组评审意见上报市人民政府，经向社会公示后，由市人民政府核准公布，或核准后授权相关部门公布。</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2" w:firstLineChars="200"/>
        <w:jc w:val="both"/>
        <w:rPr>
          <w:rFonts w:hint="eastAsia" w:ascii="楷体_GB2312" w:eastAsia="楷体_GB2312" w:cs="楷体_GB2312"/>
          <w:b/>
          <w:bCs/>
          <w:kern w:val="2"/>
          <w:sz w:val="32"/>
          <w:szCs w:val="32"/>
        </w:rPr>
      </w:pPr>
      <w:r>
        <w:rPr>
          <w:rFonts w:hint="eastAsia" w:ascii="楷体_GB2312" w:hAnsi="Times New Roman" w:eastAsia="楷体_GB2312" w:cs="楷体_GB2312"/>
          <w:b/>
          <w:bCs/>
          <w:kern w:val="2"/>
          <w:sz w:val="32"/>
          <w:szCs w:val="32"/>
          <w:lang w:val="en-US" w:eastAsia="zh-CN" w:bidi="ar"/>
        </w:rPr>
        <w:t>（二）申报材料要求</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2" w:firstLineChars="200"/>
        <w:jc w:val="both"/>
        <w:rPr>
          <w:rFonts w:hint="eastAsia" w:ascii="楷体_GB2312" w:hAnsi="楷体_GB2312" w:eastAsia="仿宋_GB2312" w:cs="楷体_GB2312"/>
          <w:b/>
          <w:bCs/>
          <w:kern w:val="2"/>
          <w:sz w:val="32"/>
          <w:szCs w:val="32"/>
        </w:rPr>
      </w:pPr>
      <w:r>
        <w:rPr>
          <w:rFonts w:hint="eastAsia" w:ascii="楷体_GB2312" w:hAnsi="楷体_GB2312" w:eastAsia="楷体_GB2312" w:cs="楷体_GB2312"/>
          <w:b/>
          <w:bCs/>
          <w:kern w:val="2"/>
          <w:sz w:val="32"/>
          <w:szCs w:val="32"/>
          <w:lang w:val="en-US" w:eastAsia="zh-CN" w:bidi="ar"/>
        </w:rPr>
        <w:t>1.</w:t>
      </w:r>
      <w:r>
        <w:rPr>
          <w:rFonts w:hint="eastAsia" w:ascii="楷体_GB2312" w:hAnsi="楷体_GB2312" w:eastAsia="仿宋_GB2312" w:cs="楷体_GB2312"/>
          <w:b/>
          <w:bCs/>
          <w:kern w:val="2"/>
          <w:sz w:val="32"/>
          <w:szCs w:val="32"/>
          <w:lang w:val="en-US" w:eastAsia="zh-CN" w:bidi="ar"/>
        </w:rPr>
        <w:t>申请报告。</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kern w:val="2"/>
          <w:sz w:val="32"/>
          <w:szCs w:val="32"/>
        </w:rPr>
      </w:pPr>
      <w:r>
        <w:rPr>
          <w:rFonts w:hint="eastAsia" w:ascii="楷体_GB2312" w:hAnsi="楷体_GB2312" w:eastAsia="仿宋_GB2312" w:cs="楷体_GB2312"/>
          <w:kern w:val="2"/>
          <w:sz w:val="32"/>
          <w:szCs w:val="32"/>
          <w:lang w:val="en-US" w:eastAsia="zh-CN" w:bidi="ar"/>
        </w:rPr>
        <w:t>概述申报镇的地理位置、环境条件、镇规模、民族构成、文化传统、水陆交通、社会经济和建设等状况，着重说明其文物保护单位、未定级不可移动文物及历史建筑群及其环境的历史沿革、原状保存情况、现状规模、空间分布、价值特色以及现存建筑的实际建造年代等情况，其非物质文化遗产及其代表性项目、传承人、与文旅融合发展等情况；已有的市内、外知名专家评价意见等。</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2" w:firstLineChars="200"/>
        <w:jc w:val="both"/>
        <w:rPr>
          <w:rFonts w:hint="eastAsia" w:ascii="楷体_GB2312" w:hAnsi="楷体_GB2312" w:eastAsia="仿宋_GB2312" w:cs="楷体_GB2312"/>
          <w:b/>
          <w:bCs/>
          <w:kern w:val="2"/>
          <w:sz w:val="32"/>
          <w:szCs w:val="32"/>
        </w:rPr>
      </w:pPr>
      <w:r>
        <w:rPr>
          <w:rFonts w:hint="eastAsia" w:ascii="楷体_GB2312" w:hAnsi="楷体_GB2312" w:eastAsia="楷体_GB2312" w:cs="楷体_GB2312"/>
          <w:b/>
          <w:bCs/>
          <w:kern w:val="2"/>
          <w:sz w:val="32"/>
          <w:szCs w:val="32"/>
          <w:lang w:val="en-US" w:eastAsia="zh-CN" w:bidi="ar"/>
        </w:rPr>
        <w:t>2.</w:t>
      </w:r>
      <w:r>
        <w:rPr>
          <w:rFonts w:hint="eastAsia" w:ascii="楷体_GB2312" w:hAnsi="楷体_GB2312" w:eastAsia="仿宋_GB2312" w:cs="楷体_GB2312"/>
          <w:b/>
          <w:bCs/>
          <w:kern w:val="2"/>
          <w:sz w:val="32"/>
          <w:szCs w:val="32"/>
          <w:lang w:val="en-US" w:eastAsia="zh-CN" w:bidi="ar"/>
        </w:rPr>
        <w:t>保护措施证明文件。</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kern w:val="2"/>
          <w:sz w:val="32"/>
          <w:szCs w:val="32"/>
        </w:rPr>
      </w:pPr>
      <w:r>
        <w:rPr>
          <w:rFonts w:hint="eastAsia" w:ascii="楷体_GB2312" w:hAnsi="楷体_GB2312" w:eastAsia="仿宋_GB2312" w:cs="楷体_GB2312"/>
          <w:kern w:val="2"/>
          <w:sz w:val="32"/>
          <w:szCs w:val="32"/>
          <w:lang w:val="en-US" w:eastAsia="zh-CN" w:bidi="ar"/>
        </w:rPr>
        <w:t>经市人民政府批准或市住房城乡建设管理部门组织审查的名镇保护规划，或保护工作报告，含保护范围、保护工作情况、保护目标和保护要求。</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2" w:firstLineChars="200"/>
        <w:jc w:val="both"/>
        <w:rPr>
          <w:rFonts w:hint="eastAsia" w:ascii="楷体_GB2312" w:hAnsi="楷体_GB2312" w:eastAsia="仿宋_GB2312" w:cs="楷体_GB2312"/>
          <w:b/>
          <w:bCs/>
          <w:kern w:val="2"/>
          <w:sz w:val="32"/>
          <w:szCs w:val="32"/>
        </w:rPr>
      </w:pPr>
      <w:r>
        <w:rPr>
          <w:rFonts w:hint="eastAsia" w:ascii="楷体_GB2312" w:hAnsi="楷体_GB2312" w:eastAsia="楷体_GB2312" w:cs="楷体_GB2312"/>
          <w:b/>
          <w:bCs/>
          <w:kern w:val="2"/>
          <w:sz w:val="32"/>
          <w:szCs w:val="32"/>
          <w:lang w:val="en-US" w:eastAsia="zh-CN" w:bidi="ar"/>
        </w:rPr>
        <w:t>3.</w:t>
      </w:r>
      <w:r>
        <w:rPr>
          <w:rFonts w:hint="eastAsia" w:ascii="楷体_GB2312" w:hAnsi="楷体_GB2312" w:eastAsia="仿宋_GB2312" w:cs="楷体_GB2312"/>
          <w:b/>
          <w:bCs/>
          <w:kern w:val="2"/>
          <w:sz w:val="32"/>
          <w:szCs w:val="32"/>
          <w:lang w:val="en-US" w:eastAsia="zh-CN" w:bidi="ar"/>
        </w:rPr>
        <w:t>相关申报表格。</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kern w:val="2"/>
          <w:sz w:val="32"/>
          <w:szCs w:val="32"/>
        </w:rPr>
      </w:pPr>
      <w:r>
        <w:rPr>
          <w:rFonts w:hint="eastAsia" w:ascii="楷体_GB2312" w:hAnsi="楷体_GB2312" w:eastAsia="仿宋_GB2312" w:cs="楷体_GB2312"/>
          <w:kern w:val="2"/>
          <w:sz w:val="32"/>
          <w:szCs w:val="32"/>
          <w:lang w:val="en-US" w:eastAsia="zh-CN" w:bidi="ar"/>
        </w:rPr>
        <w:t>《上海市历史文化名镇申报表》和《上海市历史文化名镇基础数据表》（见附件</w:t>
      </w:r>
      <w:r>
        <w:rPr>
          <w:rFonts w:hint="eastAsia" w:ascii="楷体_GB2312" w:hAnsi="楷体_GB2312" w:eastAsia="楷体_GB2312" w:cs="楷体_GB2312"/>
          <w:kern w:val="2"/>
          <w:sz w:val="32"/>
          <w:szCs w:val="32"/>
          <w:lang w:val="en-US" w:eastAsia="zh-CN" w:bidi="ar"/>
        </w:rPr>
        <w:t>2</w:t>
      </w:r>
      <w:r>
        <w:rPr>
          <w:rFonts w:hint="eastAsia" w:ascii="仿宋_GB2312" w:hAnsi="楷体_GB2312" w:eastAsia="仿宋_GB2312" w:cs="仿宋_GB2312"/>
          <w:kern w:val="2"/>
          <w:sz w:val="32"/>
          <w:szCs w:val="32"/>
          <w:lang w:val="en-US" w:eastAsia="zh-CN" w:bidi="ar"/>
        </w:rPr>
        <w:t>、</w:t>
      </w:r>
      <w:r>
        <w:rPr>
          <w:rFonts w:hint="eastAsia" w:ascii="楷体_GB2312" w:hAnsi="楷体_GB2312" w:eastAsia="楷体_GB2312" w:cs="楷体_GB2312"/>
          <w:kern w:val="2"/>
          <w:sz w:val="32"/>
          <w:szCs w:val="32"/>
          <w:lang w:val="en-US" w:eastAsia="zh-CN" w:bidi="ar"/>
        </w:rPr>
        <w:t>3</w:t>
      </w:r>
      <w:r>
        <w:rPr>
          <w:rFonts w:hint="eastAsia" w:ascii="仿宋_GB2312" w:hAnsi="楷体_GB2312" w:eastAsia="仿宋_GB2312" w:cs="仿宋_GB2312"/>
          <w:kern w:val="2"/>
          <w:sz w:val="32"/>
          <w:szCs w:val="32"/>
          <w:lang w:val="en-US" w:eastAsia="zh-CN" w:bidi="ar"/>
        </w:rPr>
        <w:t>）。</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2" w:firstLineChars="200"/>
        <w:jc w:val="both"/>
        <w:rPr>
          <w:rFonts w:hint="eastAsia" w:ascii="楷体_GB2312" w:hAnsi="楷体_GB2312" w:eastAsia="仿宋_GB2312" w:cs="楷体_GB2312"/>
          <w:b/>
          <w:bCs/>
          <w:kern w:val="2"/>
          <w:sz w:val="32"/>
          <w:szCs w:val="32"/>
        </w:rPr>
      </w:pPr>
      <w:r>
        <w:rPr>
          <w:rFonts w:hint="eastAsia" w:ascii="楷体_GB2312" w:hAnsi="楷体_GB2312" w:eastAsia="楷体_GB2312" w:cs="楷体_GB2312"/>
          <w:b/>
          <w:bCs/>
          <w:kern w:val="2"/>
          <w:sz w:val="32"/>
          <w:szCs w:val="32"/>
          <w:lang w:val="en-US" w:eastAsia="zh-CN" w:bidi="ar"/>
        </w:rPr>
        <w:t>4.</w:t>
      </w:r>
      <w:r>
        <w:rPr>
          <w:rFonts w:hint="eastAsia" w:ascii="楷体_GB2312" w:hAnsi="楷体_GB2312" w:eastAsia="仿宋_GB2312" w:cs="楷体_GB2312"/>
          <w:b/>
          <w:bCs/>
          <w:kern w:val="2"/>
          <w:sz w:val="32"/>
          <w:szCs w:val="32"/>
          <w:lang w:val="en-US" w:eastAsia="zh-CN" w:bidi="ar"/>
        </w:rPr>
        <w:t>相关图片及汇报材料。</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kern w:val="2"/>
          <w:sz w:val="32"/>
          <w:szCs w:val="32"/>
        </w:rPr>
      </w:pPr>
      <w:r>
        <w:rPr>
          <w:rFonts w:hint="eastAsia" w:ascii="楷体_GB2312" w:hAnsi="楷体_GB2312" w:eastAsia="仿宋_GB2312" w:cs="楷体_GB2312"/>
          <w:kern w:val="2"/>
          <w:sz w:val="32"/>
          <w:szCs w:val="32"/>
          <w:lang w:val="en-US" w:eastAsia="zh-CN" w:bidi="ar"/>
        </w:rPr>
        <w:t>能反映申报镇文物保护单位、未定级不可移动文物及历史建筑群风貌的，与《上海市历史文化名镇评价指标体系》有对应关系的照片（标注照片名称）、汇报材料等。汇报材料包括以下内容：</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kern w:val="2"/>
          <w:sz w:val="32"/>
          <w:szCs w:val="32"/>
        </w:rPr>
      </w:pPr>
      <w:r>
        <w:rPr>
          <w:rFonts w:hint="eastAsia" w:ascii="楷体_GB2312" w:hAnsi="楷体_GB2312" w:eastAsia="仿宋_GB2312" w:cs="楷体_GB2312"/>
          <w:kern w:val="2"/>
          <w:sz w:val="32"/>
          <w:szCs w:val="32"/>
          <w:lang w:val="en-US" w:eastAsia="zh-CN" w:bidi="ar"/>
        </w:rPr>
        <w:t>（</w:t>
      </w:r>
      <w:r>
        <w:rPr>
          <w:rFonts w:hint="eastAsia" w:ascii="楷体_GB2312" w:hAnsi="楷体_GB2312" w:eastAsia="楷体_GB2312" w:cs="楷体_GB2312"/>
          <w:kern w:val="2"/>
          <w:sz w:val="32"/>
          <w:szCs w:val="32"/>
          <w:lang w:val="en-US" w:eastAsia="zh-CN" w:bidi="ar"/>
        </w:rPr>
        <w:t>1</w:t>
      </w:r>
      <w:r>
        <w:rPr>
          <w:rFonts w:hint="eastAsia" w:ascii="仿宋_GB2312" w:hAnsi="楷体_GB2312" w:eastAsia="仿宋_GB2312" w:cs="仿宋_GB2312"/>
          <w:kern w:val="2"/>
          <w:sz w:val="32"/>
          <w:szCs w:val="32"/>
          <w:lang w:val="en-US" w:eastAsia="zh-CN" w:bidi="ar"/>
        </w:rPr>
        <w:t>）申报镇概况及历史沿革简介。</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kern w:val="2"/>
          <w:sz w:val="32"/>
          <w:szCs w:val="32"/>
        </w:rPr>
      </w:pPr>
      <w:r>
        <w:rPr>
          <w:rFonts w:hint="eastAsia" w:ascii="楷体_GB2312" w:hAnsi="楷体_GB2312" w:eastAsia="仿宋_GB2312" w:cs="楷体_GB2312"/>
          <w:kern w:val="2"/>
          <w:sz w:val="32"/>
          <w:szCs w:val="32"/>
          <w:lang w:val="en-US" w:eastAsia="zh-CN" w:bidi="ar"/>
        </w:rPr>
        <w:t>（</w:t>
      </w:r>
      <w:r>
        <w:rPr>
          <w:rFonts w:hint="eastAsia" w:ascii="楷体_GB2312" w:hAnsi="楷体_GB2312" w:eastAsia="楷体_GB2312" w:cs="楷体_GB2312"/>
          <w:kern w:val="2"/>
          <w:sz w:val="32"/>
          <w:szCs w:val="32"/>
          <w:lang w:val="en-US" w:eastAsia="zh-CN" w:bidi="ar"/>
        </w:rPr>
        <w:t>2</w:t>
      </w:r>
      <w:r>
        <w:rPr>
          <w:rFonts w:hint="eastAsia" w:ascii="仿宋_GB2312" w:hAnsi="楷体_GB2312" w:eastAsia="仿宋_GB2312" w:cs="仿宋_GB2312"/>
          <w:kern w:val="2"/>
          <w:sz w:val="32"/>
          <w:szCs w:val="32"/>
          <w:lang w:val="en-US" w:eastAsia="zh-CN" w:bidi="ar"/>
        </w:rPr>
        <w:t>）历史文化</w:t>
      </w:r>
      <w:r>
        <w:rPr>
          <w:rFonts w:hint="eastAsia" w:ascii="楷体_GB2312" w:hAnsi="楷体_GB2312" w:eastAsia="仿宋_GB2312" w:cs="楷体_GB2312"/>
          <w:kern w:val="2"/>
          <w:sz w:val="32"/>
          <w:szCs w:val="32"/>
          <w:lang w:val="en-US" w:eastAsia="zh-CN" w:bidi="ar"/>
        </w:rPr>
        <w:t>价值和特色简介。</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kern w:val="2"/>
          <w:sz w:val="32"/>
          <w:szCs w:val="32"/>
        </w:rPr>
      </w:pPr>
      <w:r>
        <w:rPr>
          <w:rFonts w:hint="eastAsia" w:ascii="楷体_GB2312" w:hAnsi="楷体_GB2312" w:eastAsia="仿宋_GB2312" w:cs="楷体_GB2312"/>
          <w:kern w:val="2"/>
          <w:sz w:val="32"/>
          <w:szCs w:val="32"/>
          <w:lang w:val="en-US" w:eastAsia="zh-CN" w:bidi="ar"/>
        </w:rPr>
        <w:t>（</w:t>
      </w:r>
      <w:r>
        <w:rPr>
          <w:rFonts w:hint="eastAsia" w:ascii="楷体_GB2312" w:hAnsi="楷体_GB2312" w:eastAsia="楷体_GB2312" w:cs="楷体_GB2312"/>
          <w:kern w:val="2"/>
          <w:sz w:val="32"/>
          <w:szCs w:val="32"/>
          <w:lang w:val="en-US" w:eastAsia="zh-CN" w:bidi="ar"/>
        </w:rPr>
        <w:t>3</w:t>
      </w:r>
      <w:r>
        <w:rPr>
          <w:rFonts w:hint="eastAsia" w:ascii="仿宋_GB2312" w:hAnsi="楷体_GB2312" w:eastAsia="仿宋_GB2312" w:cs="仿宋_GB2312"/>
          <w:kern w:val="2"/>
          <w:sz w:val="32"/>
          <w:szCs w:val="32"/>
          <w:lang w:val="en-US" w:eastAsia="zh-CN" w:bidi="ar"/>
        </w:rPr>
        <w:t>）历史文化资源和特色风貌简介。</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kern w:val="2"/>
          <w:sz w:val="32"/>
          <w:szCs w:val="32"/>
        </w:rPr>
      </w:pPr>
      <w:r>
        <w:rPr>
          <w:rFonts w:hint="eastAsia" w:ascii="楷体_GB2312" w:hAnsi="楷体_GB2312" w:eastAsia="仿宋_GB2312" w:cs="楷体_GB2312"/>
          <w:kern w:val="2"/>
          <w:sz w:val="32"/>
          <w:szCs w:val="32"/>
          <w:lang w:val="en-US" w:eastAsia="zh-CN" w:bidi="ar"/>
        </w:rPr>
        <w:t>（</w:t>
      </w:r>
      <w:r>
        <w:rPr>
          <w:rFonts w:hint="eastAsia" w:ascii="楷体_GB2312" w:hAnsi="楷体_GB2312" w:eastAsia="楷体_GB2312" w:cs="楷体_GB2312"/>
          <w:kern w:val="2"/>
          <w:sz w:val="32"/>
          <w:szCs w:val="32"/>
          <w:lang w:val="en-US" w:eastAsia="zh-CN" w:bidi="ar"/>
        </w:rPr>
        <w:t>4</w:t>
      </w:r>
      <w:r>
        <w:rPr>
          <w:rFonts w:hint="eastAsia" w:ascii="楷体_GB2312" w:hAnsi="楷体_GB2312" w:eastAsia="仿宋_GB2312" w:cs="楷体_GB2312"/>
          <w:kern w:val="2"/>
          <w:sz w:val="32"/>
          <w:szCs w:val="32"/>
          <w:lang w:val="en-US" w:eastAsia="zh-CN" w:bidi="ar"/>
        </w:rPr>
        <w:t>）申报镇保护规划或保护工作报告简介。</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黑体" w:hAnsi="宋体" w:eastAsia="黑体" w:cs="黑体"/>
          <w:b w:val="0"/>
          <w:bCs w:val="0"/>
          <w:kern w:val="2"/>
          <w:sz w:val="32"/>
          <w:szCs w:val="32"/>
        </w:rPr>
      </w:pPr>
      <w:r>
        <w:rPr>
          <w:rFonts w:hint="eastAsia" w:ascii="黑体" w:hAnsi="宋体" w:eastAsia="黑体" w:cs="黑体"/>
          <w:b w:val="0"/>
          <w:bCs w:val="0"/>
          <w:kern w:val="2"/>
          <w:sz w:val="32"/>
          <w:szCs w:val="32"/>
          <w:lang w:val="en-US" w:eastAsia="zh-CN" w:bidi="ar"/>
        </w:rPr>
        <w:t>三、身份的撤销</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kern w:val="2"/>
          <w:sz w:val="32"/>
          <w:szCs w:val="32"/>
        </w:rPr>
      </w:pPr>
      <w:r>
        <w:rPr>
          <w:rFonts w:hint="eastAsia" w:ascii="楷体_GB2312" w:hAnsi="楷体_GB2312" w:eastAsia="仿宋_GB2312" w:cs="楷体_GB2312"/>
          <w:kern w:val="2"/>
          <w:sz w:val="32"/>
          <w:szCs w:val="32"/>
          <w:lang w:val="en-US" w:eastAsia="zh-CN" w:bidi="ar"/>
        </w:rPr>
        <w:t>上海市历史文化名镇实行动态管理。</w:t>
      </w:r>
      <w:r>
        <w:rPr>
          <w:rFonts w:hint="eastAsia" w:ascii="仿宋_GB2312" w:hAnsi="Times New Roman" w:eastAsia="仿宋_GB2312" w:cs="仿宋_GB2312"/>
          <w:kern w:val="2"/>
          <w:sz w:val="32"/>
          <w:szCs w:val="32"/>
          <w:lang w:val="en-US" w:eastAsia="zh-CN" w:bidi="ar"/>
        </w:rPr>
        <w:t>市住房城乡建设管理部门、区历史文化名镇保护管理部门应当会同相关部门，按照国家和本市有关规定，加强对历史文化名镇保护规划实施情况的监督检查，并对历史文化名镇保护状况进行评估；对发现的问题，应当及时纠正、处理。</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kern w:val="2"/>
          <w:sz w:val="32"/>
          <w:szCs w:val="32"/>
        </w:rPr>
      </w:pPr>
      <w:r>
        <w:rPr>
          <w:rFonts w:hint="eastAsia" w:ascii="楷体_GB2312" w:hAnsi="楷体_GB2312" w:eastAsia="仿宋_GB2312" w:cs="楷体_GB2312"/>
          <w:kern w:val="2"/>
          <w:sz w:val="32"/>
          <w:szCs w:val="32"/>
          <w:lang w:val="en-US" w:eastAsia="zh-CN" w:bidi="ar"/>
        </w:rPr>
        <w:t>市住房城乡建设管理部门会同市规划资源、市文物管理部门不定期组织专家对已经取得上海市历史文化名镇身份的镇进行检查。对于已批准公布的上海市历史文化名镇，因保护不力致使镇历史文化价值受到严重影响的，将上报市人民政府将其列入濒危名单，予以公布，并责成所在区人民政府限期采取补救措施，防止情况继续恶化，并完善保护制度，加强保护工作；列入濒危名单后在规定期限内未采取有效整改措施或整改后仍不符合保护要求的，将上报市人民政府取消其上海市历史文化名镇身份。</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黑体" w:hAnsi="宋体" w:eastAsia="黑体" w:cs="黑体"/>
          <w:b w:val="0"/>
          <w:bCs w:val="0"/>
          <w:kern w:val="2"/>
          <w:sz w:val="32"/>
          <w:szCs w:val="32"/>
        </w:rPr>
      </w:pPr>
      <w:r>
        <w:rPr>
          <w:rFonts w:hint="eastAsia" w:ascii="黑体" w:hAnsi="宋体" w:eastAsia="黑体" w:cs="黑体"/>
          <w:b w:val="0"/>
          <w:bCs w:val="0"/>
          <w:kern w:val="2"/>
          <w:sz w:val="32"/>
          <w:szCs w:val="32"/>
          <w:lang w:val="en-US" w:eastAsia="zh-CN" w:bidi="ar"/>
        </w:rPr>
        <w:t>四、附则</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b w:val="0"/>
          <w:bCs w:val="0"/>
          <w:kern w:val="2"/>
          <w:sz w:val="32"/>
          <w:szCs w:val="32"/>
        </w:rPr>
      </w:pPr>
      <w:r>
        <w:rPr>
          <w:rFonts w:hint="eastAsia" w:ascii="楷体_GB2312" w:hAnsi="楷体_GB2312" w:eastAsia="仿宋_GB2312" w:cs="楷体_GB2312"/>
          <w:b w:val="0"/>
          <w:bCs w:val="0"/>
          <w:kern w:val="2"/>
          <w:sz w:val="32"/>
          <w:szCs w:val="32"/>
          <w:lang w:val="en-US" w:eastAsia="zh-CN" w:bidi="ar"/>
        </w:rPr>
        <w:t>本办法由上海市住房和城乡建设管理委员会负责解释。</w:t>
      </w:r>
    </w:p>
    <w:p>
      <w:pPr>
        <w:keepNext w:val="0"/>
        <w:keepLines w:val="0"/>
        <w:widowControl w:val="0"/>
        <w:suppressLineNumbers w:val="0"/>
        <w:autoSpaceDE w:val="0"/>
        <w:autoSpaceDN/>
        <w:adjustRightInd w:val="0"/>
        <w:snapToGrid w:val="0"/>
        <w:spacing w:before="0" w:beforeLines="0" w:beforeAutospacing="0" w:after="0" w:afterLines="0" w:afterAutospacing="0" w:line="600" w:lineRule="exact"/>
        <w:ind w:left="0" w:leftChars="0" w:right="0" w:firstLine="640" w:firstLineChars="200"/>
        <w:jc w:val="both"/>
        <w:rPr>
          <w:rFonts w:hint="eastAsia" w:ascii="楷体_GB2312" w:hAnsi="楷体_GB2312" w:eastAsia="仿宋_GB2312" w:cs="楷体_GB2312"/>
          <w:b w:val="0"/>
          <w:bCs w:val="0"/>
          <w:kern w:val="2"/>
          <w:sz w:val="32"/>
          <w:szCs w:val="32"/>
        </w:rPr>
      </w:pPr>
      <w:r>
        <w:rPr>
          <w:rFonts w:hint="eastAsia" w:ascii="楷体_GB2312" w:hAnsi="楷体_GB2312" w:eastAsia="仿宋_GB2312" w:cs="楷体_GB2312"/>
          <w:b w:val="0"/>
          <w:bCs w:val="0"/>
          <w:kern w:val="2"/>
          <w:sz w:val="32"/>
          <w:szCs w:val="32"/>
          <w:lang w:val="en-US" w:eastAsia="zh-CN" w:bidi="ar"/>
        </w:rPr>
        <w:t>本办法自</w:t>
      </w:r>
      <w:r>
        <w:rPr>
          <w:rFonts w:hint="eastAsia" w:ascii="楷体_GB2312" w:hAnsi="楷体_GB2312" w:eastAsia="楷体_GB2312" w:cs="楷体_GB2312"/>
          <w:b w:val="0"/>
          <w:bCs w:val="0"/>
          <w:kern w:val="2"/>
          <w:sz w:val="32"/>
          <w:szCs w:val="32"/>
          <w:lang w:val="en-US" w:eastAsia="zh-CN" w:bidi="ar"/>
        </w:rPr>
        <w:t>2026</w:t>
      </w:r>
      <w:r>
        <w:rPr>
          <w:rFonts w:hint="eastAsia" w:ascii="楷体_GB2312" w:hAnsi="楷体_GB2312" w:eastAsia="仿宋_GB2312" w:cs="楷体_GB2312"/>
          <w:b w:val="0"/>
          <w:bCs w:val="0"/>
          <w:kern w:val="2"/>
          <w:sz w:val="32"/>
          <w:szCs w:val="32"/>
          <w:lang w:val="en-US" w:eastAsia="zh-CN" w:bidi="ar"/>
        </w:rPr>
        <w:t>年8月10日起施行。</w:t>
      </w:r>
    </w:p>
    <w:p>
      <w:pPr>
        <w:widowControl/>
        <w:jc w:val="left"/>
        <w:rPr>
          <w:rFonts w:hint="eastAsia" w:ascii="楷体_GB2312" w:hAnsi="楷体_GB2312" w:eastAsia="仿宋_GB2312" w:cs="楷体_GB2312"/>
          <w:bCs/>
          <w:sz w:val="28"/>
          <w:szCs w:val="28"/>
          <w:highlight w:val="none"/>
          <w:u w:val="none"/>
        </w:rPr>
      </w:pPr>
      <w:r>
        <w:rPr>
          <w:rFonts w:hint="eastAsia" w:ascii="楷体_GB2312" w:hAnsi="楷体_GB2312" w:eastAsia="仿宋_GB2312" w:cs="楷体_GB2312"/>
          <w:bCs/>
          <w:sz w:val="28"/>
          <w:szCs w:val="28"/>
          <w:highlight w:val="none"/>
          <w:u w:val="none"/>
        </w:rPr>
        <w:br w:type="page"/>
      </w:r>
    </w:p>
    <w:p>
      <w:pPr>
        <w:tabs>
          <w:tab w:val="center" w:pos="4349"/>
          <w:tab w:val="left" w:pos="5960"/>
        </w:tabs>
        <w:adjustRightInd w:val="0"/>
        <w:snapToGrid w:val="0"/>
        <w:spacing w:after="0" w:line="560" w:lineRule="exact"/>
        <w:rPr>
          <w:rFonts w:hint="eastAsia" w:ascii="黑体" w:hAnsi="黑体" w:eastAsia="黑体" w:cs="黑体"/>
          <w:bCs/>
          <w:sz w:val="28"/>
          <w:szCs w:val="28"/>
          <w:highlight w:val="none"/>
          <w:u w:val="none"/>
          <w:lang w:eastAsia="zh"/>
        </w:rPr>
      </w:pPr>
      <w:r>
        <w:rPr>
          <w:rFonts w:hint="eastAsia" w:ascii="黑体" w:hAnsi="黑体" w:eastAsia="黑体" w:cs="黑体"/>
          <w:bCs/>
          <w:sz w:val="28"/>
          <w:szCs w:val="28"/>
          <w:highlight w:val="none"/>
          <w:u w:val="none"/>
        </w:rPr>
        <w:t>附件1 上海市历史文化名镇评价指标体系</w:t>
      </w:r>
      <w:r>
        <w:rPr>
          <w:rFonts w:hint="eastAsia" w:ascii="黑体" w:hAnsi="黑体" w:eastAsia="黑体" w:cs="黑体"/>
          <w:bCs/>
          <w:sz w:val="28"/>
          <w:szCs w:val="28"/>
          <w:highlight w:val="none"/>
          <w:u w:val="none"/>
          <w:lang w:eastAsia="zh"/>
        </w:rPr>
        <w:t>（暂行）</w:t>
      </w:r>
    </w:p>
    <w:p>
      <w:pPr>
        <w:tabs>
          <w:tab w:val="center" w:pos="4349"/>
          <w:tab w:val="left" w:pos="5960"/>
        </w:tabs>
        <w:adjustRightInd w:val="0"/>
        <w:snapToGrid w:val="0"/>
        <w:spacing w:after="0" w:line="560" w:lineRule="exac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xml:space="preserve">名称：        区　　　　镇　　                   填表人及电话：　　                          </w:t>
      </w:r>
    </w:p>
    <w:p>
      <w:pPr>
        <w:tabs>
          <w:tab w:val="center" w:pos="4349"/>
          <w:tab w:val="left" w:pos="5960"/>
        </w:tabs>
        <w:adjustRightInd w:val="0"/>
        <w:snapToGrid w:val="0"/>
        <w:spacing w:after="0" w:line="560" w:lineRule="exact"/>
        <w:rPr>
          <w:rFonts w:hint="eastAsia" w:ascii="仿宋_GB2312" w:hAnsi="仿宋_GB2312" w:eastAsia="仿宋_GB2312" w:cs="仿宋_GB2312"/>
          <w:bCs/>
          <w:sz w:val="28"/>
          <w:szCs w:val="28"/>
          <w:highlight w:val="none"/>
          <w:u w:val="none"/>
        </w:rPr>
      </w:pPr>
      <w:r>
        <w:rPr>
          <w:rFonts w:hint="eastAsia" w:ascii="仿宋_GB2312" w:hAnsi="仿宋_GB2312" w:eastAsia="仿宋_GB2312" w:cs="仿宋_GB2312"/>
          <w:sz w:val="24"/>
          <w:highlight w:val="none"/>
          <w:u w:val="none"/>
        </w:rPr>
        <w:t>填表时间（盖章）：</w:t>
      </w:r>
      <w:r>
        <w:rPr>
          <w:rFonts w:hint="eastAsia" w:ascii="仿宋_GB2312" w:hAnsi="仿宋_GB2312" w:eastAsia="仿宋_GB2312" w:cs="仿宋_GB2312"/>
          <w:bCs/>
          <w:sz w:val="28"/>
          <w:szCs w:val="28"/>
          <w:highlight w:val="none"/>
          <w:u w:val="none"/>
        </w:rPr>
        <w:t xml:space="preserve">　         </w:t>
      </w:r>
    </w:p>
    <w:tbl>
      <w:tblPr>
        <w:tblStyle w:val="52"/>
        <w:tblW w:w="6024" w:type="pct"/>
        <w:tblInd w:w="-485"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0" w:type="dxa"/>
          <w:left w:w="0" w:type="dxa"/>
          <w:bottom w:w="0" w:type="dxa"/>
          <w:right w:w="0" w:type="dxa"/>
        </w:tblCellMar>
      </w:tblPr>
      <w:tblGrid>
        <w:gridCol w:w="1841"/>
        <w:gridCol w:w="3262"/>
        <w:gridCol w:w="3685"/>
        <w:gridCol w:w="696"/>
        <w:gridCol w:w="721"/>
        <w:tblGridChange w:id="0">
          <w:tblGrid>
            <w:gridCol w:w="1841"/>
            <w:gridCol w:w="3262"/>
            <w:gridCol w:w="3685"/>
            <w:gridCol w:w="696"/>
            <w:gridCol w:w="2"/>
            <w:gridCol w:w="719"/>
          </w:tblGrid>
        </w:tblGridChange>
      </w:tblGrid>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指标 </w:t>
            </w:r>
          </w:p>
        </w:tc>
        <w:tc>
          <w:tcPr>
            <w:tcW w:w="1598"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指标分解及释义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分值升降方法指标填写 </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最高</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限分</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实际</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得分</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一、价值特色 </w:t>
            </w:r>
          </w:p>
        </w:tc>
        <w:tc>
          <w:tcPr>
            <w:tcW w:w="1598"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70 </w:t>
            </w:r>
          </w:p>
        </w:tc>
        <w:tc>
          <w:tcPr>
            <w:tcW w:w="2499" w:type="pct"/>
            <w:gridSpan w:val="3"/>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vMerge w:val="restar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w:t>
            </w:r>
            <w:r>
              <w:rPr>
                <w:rFonts w:hint="eastAsia" w:ascii="仿宋_GB2312" w:hAnsi="仿宋_GB2312" w:eastAsia="仿宋_GB2312" w:cs="仿宋_GB2312"/>
                <w:sz w:val="24"/>
                <w:highlight w:val="none"/>
                <w:u w:val="none"/>
                <w:lang w:eastAsia="zh-CN"/>
              </w:rPr>
              <w:t>.</w:t>
            </w:r>
            <w:r>
              <w:rPr>
                <w:rFonts w:hint="eastAsia" w:ascii="仿宋_GB2312" w:hAnsi="仿宋_GB2312" w:eastAsia="仿宋_GB2312" w:cs="仿宋_GB2312"/>
                <w:sz w:val="24"/>
                <w:highlight w:val="none"/>
                <w:u w:val="none"/>
              </w:rPr>
              <w:t>镇建成区文物等级与数量 </w:t>
            </w:r>
          </w:p>
        </w:tc>
        <w:tc>
          <w:tcPr>
            <w:tcW w:w="1598"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（1）文物保护单位数量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1处1分，每增加1处增加1分。 </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5 </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598" w:type="pct"/>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（2）文物保护单位最高等级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县市级1分；省级3分；国家级和世界文化遗产5分。 </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5 </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598" w:type="pct"/>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（3）</w:t>
            </w:r>
            <w:r>
              <w:rPr>
                <w:rFonts w:hint="eastAsia" w:ascii="仿宋_GB2312" w:hAnsi="仿宋_GB2312" w:eastAsia="仿宋_GB2312" w:cs="仿宋_GB2312"/>
                <w:sz w:val="24"/>
                <w:highlight w:val="none"/>
                <w:u w:val="none"/>
                <w:lang w:eastAsia="zh-CN"/>
              </w:rPr>
              <w:t>未定级不可移动文物</w:t>
            </w:r>
            <w:r>
              <w:rPr>
                <w:rFonts w:hint="eastAsia" w:ascii="仿宋_GB2312" w:hAnsi="仿宋_GB2312" w:eastAsia="仿宋_GB2312" w:cs="仿宋_GB2312"/>
                <w:sz w:val="24"/>
                <w:highlight w:val="none"/>
                <w:u w:val="none"/>
              </w:rPr>
              <w:t>数量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2处1分。 </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3 </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rPr>
          <w:trHeight w:val="23" w:hRule="atLeast"/>
        </w:trPr>
        <w:tc>
          <w:tcPr>
            <w:tcW w:w="902"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2</w:t>
            </w:r>
            <w:r>
              <w:rPr>
                <w:rFonts w:hint="eastAsia" w:ascii="仿宋_GB2312" w:hAnsi="仿宋_GB2312" w:eastAsia="仿宋_GB2312" w:cs="仿宋_GB2312"/>
                <w:sz w:val="24"/>
                <w:highlight w:val="none"/>
                <w:u w:val="none"/>
                <w:lang w:eastAsia="zh-CN"/>
              </w:rPr>
              <w:t>.</w:t>
            </w:r>
            <w:r>
              <w:rPr>
                <w:rFonts w:hint="eastAsia" w:ascii="仿宋_GB2312" w:hAnsi="仿宋_GB2312" w:eastAsia="仿宋_GB2312" w:cs="仿宋_GB2312"/>
                <w:sz w:val="24"/>
                <w:highlight w:val="none"/>
                <w:u w:val="none"/>
              </w:rPr>
              <w:t>镇建成区历史建筑数量 </w:t>
            </w:r>
          </w:p>
        </w:tc>
        <w:tc>
          <w:tcPr>
            <w:tcW w:w="1598"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（4）市</w:t>
            </w:r>
            <w:r>
              <w:rPr>
                <w:rFonts w:hint="eastAsia" w:ascii="仿宋_GB2312" w:hAnsi="仿宋_GB2312" w:eastAsia="仿宋_GB2312" w:cs="仿宋_GB2312"/>
                <w:sz w:val="24"/>
                <w:highlight w:val="none"/>
                <w:u w:val="none"/>
                <w:lang w:eastAsia="zh-CN"/>
              </w:rPr>
              <w:t>、区</w:t>
            </w:r>
            <w:r>
              <w:rPr>
                <w:rFonts w:hint="eastAsia" w:ascii="仿宋_GB2312" w:hAnsi="仿宋_GB2312" w:eastAsia="仿宋_GB2312" w:cs="仿宋_GB2312"/>
                <w:sz w:val="24"/>
                <w:highlight w:val="none"/>
                <w:u w:val="none"/>
              </w:rPr>
              <w:t>政府公布的历史建筑数量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2处1分。 </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5 </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3</w:t>
            </w:r>
            <w:r>
              <w:rPr>
                <w:rFonts w:hint="eastAsia" w:ascii="仿宋_GB2312" w:hAnsi="仿宋_GB2312" w:eastAsia="仿宋_GB2312" w:cs="仿宋_GB2312"/>
                <w:sz w:val="24"/>
                <w:highlight w:val="none"/>
                <w:u w:val="none"/>
                <w:lang w:eastAsia="zh-CN"/>
              </w:rPr>
              <w:t>.</w:t>
            </w:r>
            <w:r>
              <w:rPr>
                <w:rFonts w:hint="eastAsia" w:ascii="仿宋_GB2312" w:hAnsi="仿宋_GB2312" w:eastAsia="仿宋_GB2312" w:cs="仿宋_GB2312"/>
                <w:sz w:val="24"/>
                <w:highlight w:val="none"/>
                <w:u w:val="none"/>
              </w:rPr>
              <w:t>镇建成区不可移动文物与历史建筑规模 </w:t>
            </w:r>
          </w:p>
        </w:tc>
        <w:tc>
          <w:tcPr>
            <w:tcW w:w="1598"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（5）现存文物保护单位、</w:t>
            </w:r>
            <w:r>
              <w:rPr>
                <w:rFonts w:hint="eastAsia" w:ascii="仿宋_GB2312" w:hAnsi="仿宋_GB2312" w:eastAsia="仿宋_GB2312" w:cs="仿宋_GB2312"/>
                <w:sz w:val="24"/>
                <w:highlight w:val="none"/>
                <w:u w:val="none"/>
                <w:lang w:eastAsia="zh-CN"/>
              </w:rPr>
              <w:t>未定级不可移动文物</w:t>
            </w:r>
            <w:r>
              <w:rPr>
                <w:rFonts w:hint="eastAsia" w:ascii="仿宋_GB2312" w:hAnsi="仿宋_GB2312" w:eastAsia="仿宋_GB2312" w:cs="仿宋_GB2312"/>
                <w:sz w:val="24"/>
                <w:highlight w:val="none"/>
                <w:u w:val="none"/>
              </w:rPr>
              <w:t>、历史建筑的建筑面积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color w:val="auto"/>
                <w:sz w:val="24"/>
                <w:highlight w:val="none"/>
                <w:u w:val="none"/>
                <w:lang w:val="en-US" w:eastAsia="zh-CN"/>
              </w:rPr>
              <w:t>2500</w:t>
            </w:r>
            <w:r>
              <w:rPr>
                <w:rFonts w:hint="eastAsia" w:ascii="仿宋_GB2312" w:hAnsi="仿宋_GB2312" w:eastAsia="仿宋_GB2312" w:cs="仿宋_GB2312"/>
                <w:color w:val="auto"/>
                <w:sz w:val="24"/>
                <w:highlight w:val="none"/>
                <w:u w:val="none"/>
              </w:rPr>
              <w:t xml:space="preserve"> m</w:t>
            </w:r>
            <w:r>
              <w:rPr>
                <w:rFonts w:hint="eastAsia" w:ascii="仿宋_GB2312" w:hAnsi="仿宋_GB2312" w:eastAsia="仿宋_GB2312" w:cs="仿宋_GB2312"/>
                <w:color w:val="auto"/>
                <w:sz w:val="24"/>
                <w:highlight w:val="none"/>
                <w:u w:val="none"/>
                <w:vertAlign w:val="superscript"/>
              </w:rPr>
              <w:t>2</w:t>
            </w:r>
            <w:r>
              <w:rPr>
                <w:rFonts w:hint="eastAsia" w:ascii="仿宋_GB2312" w:hAnsi="仿宋_GB2312" w:eastAsia="仿宋_GB2312" w:cs="仿宋_GB2312"/>
                <w:color w:val="auto"/>
                <w:sz w:val="24"/>
                <w:highlight w:val="none"/>
                <w:u w:val="none"/>
              </w:rPr>
              <w:t>1分，每增加</w:t>
            </w:r>
            <w:r>
              <w:rPr>
                <w:rFonts w:hint="eastAsia" w:ascii="仿宋_GB2312" w:hAnsi="仿宋_GB2312" w:eastAsia="仿宋_GB2312" w:cs="仿宋_GB2312"/>
                <w:color w:val="auto"/>
                <w:sz w:val="24"/>
                <w:highlight w:val="none"/>
                <w:u w:val="none"/>
                <w:lang w:val="en-US" w:eastAsia="zh-CN"/>
              </w:rPr>
              <w:t>1</w:t>
            </w:r>
            <w:r>
              <w:rPr>
                <w:rFonts w:hint="eastAsia" w:ascii="仿宋_GB2312" w:hAnsi="仿宋_GB2312" w:eastAsia="仿宋_GB2312" w:cs="仿宋_GB2312"/>
                <w:color w:val="auto"/>
                <w:sz w:val="24"/>
                <w:highlight w:val="none"/>
                <w:u w:val="none"/>
              </w:rPr>
              <w:t>500 m</w:t>
            </w:r>
            <w:r>
              <w:rPr>
                <w:rFonts w:hint="eastAsia" w:ascii="仿宋_GB2312" w:hAnsi="仿宋_GB2312" w:eastAsia="仿宋_GB2312" w:cs="仿宋_GB2312"/>
                <w:color w:val="auto"/>
                <w:sz w:val="24"/>
                <w:highlight w:val="none"/>
                <w:u w:val="none"/>
                <w:vertAlign w:val="superscript"/>
              </w:rPr>
              <w:t>2</w:t>
            </w:r>
            <w:r>
              <w:rPr>
                <w:rFonts w:hint="eastAsia" w:ascii="仿宋_GB2312" w:hAnsi="仿宋_GB2312" w:eastAsia="仿宋_GB2312" w:cs="仿宋_GB2312"/>
                <w:color w:val="auto"/>
                <w:sz w:val="24"/>
                <w:highlight w:val="none"/>
                <w:u w:val="none"/>
              </w:rPr>
              <w:t>增加1分。</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3 </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4</w:t>
            </w:r>
            <w:r>
              <w:rPr>
                <w:rFonts w:hint="eastAsia" w:ascii="仿宋_GB2312" w:hAnsi="仿宋_GB2312" w:eastAsia="仿宋_GB2312" w:cs="仿宋_GB2312"/>
                <w:sz w:val="24"/>
                <w:highlight w:val="none"/>
                <w:u w:val="none"/>
                <w:lang w:eastAsia="zh-CN"/>
              </w:rPr>
              <w:t>.</w:t>
            </w:r>
            <w:r>
              <w:rPr>
                <w:rFonts w:hint="eastAsia" w:ascii="仿宋_GB2312" w:hAnsi="仿宋_GB2312" w:eastAsia="仿宋_GB2312" w:cs="仿宋_GB2312"/>
                <w:sz w:val="24"/>
                <w:highlight w:val="none"/>
                <w:u w:val="none"/>
              </w:rPr>
              <w:t>重要职能特色 </w:t>
            </w:r>
          </w:p>
        </w:tc>
        <w:tc>
          <w:tcPr>
            <w:tcW w:w="1598"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（6）反映重要职能与特色的不可移动文物和历史建筑保存完好情况</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重要职能特色指历史上曾作为区域政治中心、军事要地、交通枢纽和物流集散地；传统生产、工程设施建设地；集中反映地区建筑文化和传统风貌；重大历史事件发生地或名人生活居住地；突出反映社会主义制度建立各方面取得的巨大成就；突出反映改革开放后国家发展取得的伟大成就）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一级3分；二级2分；三级1分。</w:t>
            </w:r>
          </w:p>
          <w:p>
            <w:pPr>
              <w:widowControl/>
              <w:spacing w:after="0" w:line="340" w:lineRule="exact"/>
              <w:jc w:val="left"/>
              <w:rPr>
                <w:rFonts w:hint="eastAsia" w:ascii="仿宋_GB2312" w:hAnsi="仿宋_GB2312" w:eastAsia="仿宋_GB2312" w:cs="仿宋_GB2312"/>
                <w:sz w:val="24"/>
                <w:highlight w:val="none"/>
                <w:u w:val="none"/>
                <w:lang w:eastAsia="zh"/>
              </w:rPr>
            </w:pPr>
            <w:r>
              <w:rPr>
                <w:rFonts w:hint="eastAsia" w:ascii="仿宋_GB2312" w:hAnsi="仿宋_GB2312" w:eastAsia="仿宋_GB2312" w:cs="仿宋_GB2312"/>
                <w:sz w:val="24"/>
                <w:highlight w:val="none"/>
                <w:u w:val="none"/>
              </w:rPr>
              <w:t>一级：</w:t>
            </w:r>
            <w:r>
              <w:rPr>
                <w:rFonts w:hint="eastAsia" w:ascii="仿宋_GB2312" w:hAnsi="仿宋_GB2312" w:eastAsia="仿宋_GB2312" w:cs="仿宋_GB2312"/>
                <w:sz w:val="24"/>
                <w:highlight w:val="none"/>
                <w:u w:val="none"/>
                <w:lang w:eastAsia="zh"/>
              </w:rPr>
              <w:t>镇内文物保护单位、未定级不可移动文物</w:t>
            </w:r>
            <w:r>
              <w:rPr>
                <w:rFonts w:hint="eastAsia" w:ascii="仿宋_GB2312" w:hAnsi="仿宋_GB2312" w:eastAsia="仿宋_GB2312" w:cs="仿宋_GB2312"/>
                <w:sz w:val="24"/>
                <w:highlight w:val="none"/>
                <w:u w:val="none"/>
              </w:rPr>
              <w:t>和历史建筑</w:t>
            </w:r>
            <w:r>
              <w:rPr>
                <w:rFonts w:hint="eastAsia" w:ascii="仿宋_GB2312" w:hAnsi="仿宋_GB2312" w:eastAsia="仿宋_GB2312" w:cs="仿宋_GB2312"/>
                <w:sz w:val="24"/>
                <w:highlight w:val="none"/>
                <w:u w:val="none"/>
                <w:lang w:eastAsia="zh"/>
              </w:rPr>
              <w:t>群、建筑物</w:t>
            </w:r>
            <w:r>
              <w:rPr>
                <w:rFonts w:hint="eastAsia" w:ascii="仿宋_GB2312" w:hAnsi="仿宋_GB2312" w:eastAsia="仿宋_GB2312" w:cs="仿宋_GB2312"/>
                <w:sz w:val="24"/>
                <w:highlight w:val="none"/>
                <w:u w:val="none"/>
              </w:rPr>
              <w:t>及其建筑细部乃至周边环境基本上原貌保存完好</w:t>
            </w:r>
            <w:r>
              <w:rPr>
                <w:rFonts w:hint="eastAsia" w:ascii="仿宋_GB2312" w:hAnsi="仿宋_GB2312" w:eastAsia="仿宋_GB2312" w:cs="仿宋_GB2312"/>
                <w:sz w:val="24"/>
                <w:highlight w:val="none"/>
                <w:u w:val="none"/>
                <w:lang w:eastAsia="zh"/>
              </w:rPr>
              <w:t>；</w:t>
            </w:r>
          </w:p>
          <w:p>
            <w:pPr>
              <w:widowControl/>
              <w:spacing w:after="0" w:line="340" w:lineRule="exact"/>
              <w:jc w:val="left"/>
              <w:rPr>
                <w:rFonts w:hint="eastAsia" w:ascii="仿宋_GB2312" w:hAnsi="仿宋_GB2312" w:eastAsia="仿宋_GB2312" w:cs="仿宋_GB2312"/>
                <w:sz w:val="24"/>
                <w:highlight w:val="none"/>
                <w:u w:val="none"/>
                <w:lang w:eastAsia="zh"/>
              </w:rPr>
            </w:pPr>
            <w:r>
              <w:rPr>
                <w:rFonts w:hint="eastAsia" w:ascii="仿宋_GB2312" w:hAnsi="仿宋_GB2312" w:eastAsia="仿宋_GB2312" w:cs="仿宋_GB2312"/>
                <w:sz w:val="24"/>
                <w:highlight w:val="none"/>
                <w:u w:val="none"/>
              </w:rPr>
              <w:t>二级：</w:t>
            </w:r>
            <w:r>
              <w:rPr>
                <w:rFonts w:hint="eastAsia" w:ascii="仿宋_GB2312" w:hAnsi="仿宋_GB2312" w:eastAsia="仿宋_GB2312" w:cs="仿宋_GB2312"/>
                <w:sz w:val="24"/>
                <w:highlight w:val="none"/>
                <w:u w:val="none"/>
                <w:lang w:eastAsia="zh"/>
              </w:rPr>
              <w:t>原建筑群</w:t>
            </w:r>
            <w:r>
              <w:rPr>
                <w:rFonts w:hint="eastAsia" w:ascii="仿宋_GB2312" w:hAnsi="仿宋_GB2312" w:eastAsia="仿宋_GB2312" w:cs="仿宋_GB2312"/>
                <w:sz w:val="24"/>
                <w:highlight w:val="none"/>
                <w:u w:val="none"/>
              </w:rPr>
              <w:t>及其周边环境虽部分倒塌破坏，但“骨架”尚存，部分建筑细部亦保存完好</w:t>
            </w:r>
            <w:r>
              <w:rPr>
                <w:rFonts w:hint="eastAsia" w:ascii="仿宋_GB2312" w:hAnsi="仿宋_GB2312" w:eastAsia="仿宋_GB2312" w:cs="仿宋_GB2312"/>
                <w:sz w:val="24"/>
                <w:highlight w:val="none"/>
                <w:u w:val="none"/>
                <w:lang w:eastAsia="zh"/>
              </w:rPr>
              <w:t>，依据保存实物的结构、构造和样式可以整体修复原貌；</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三级：因年代久远，</w:t>
            </w:r>
            <w:r>
              <w:rPr>
                <w:rFonts w:hint="eastAsia" w:ascii="仿宋_GB2312" w:hAnsi="仿宋_GB2312" w:eastAsia="仿宋_GB2312" w:cs="仿宋_GB2312"/>
                <w:sz w:val="24"/>
                <w:highlight w:val="none"/>
                <w:u w:val="none"/>
                <w:lang w:eastAsia="zh"/>
              </w:rPr>
              <w:t>原建筑群、建筑物及其周边环境虽</w:t>
            </w:r>
            <w:r>
              <w:rPr>
                <w:rFonts w:hint="eastAsia" w:ascii="仿宋_GB2312" w:hAnsi="仿宋_GB2312" w:eastAsia="仿宋_GB2312" w:cs="仿宋_GB2312"/>
                <w:sz w:val="24"/>
                <w:highlight w:val="none"/>
                <w:u w:val="none"/>
              </w:rPr>
              <w:t>曾倒塌破坏，但已按原貌</w:t>
            </w:r>
            <w:r>
              <w:rPr>
                <w:rFonts w:hint="eastAsia" w:ascii="仿宋_GB2312" w:hAnsi="仿宋_GB2312" w:eastAsia="仿宋_GB2312" w:cs="仿宋_GB2312"/>
                <w:sz w:val="24"/>
                <w:highlight w:val="none"/>
                <w:u w:val="none"/>
                <w:lang w:eastAsia="zh"/>
              </w:rPr>
              <w:t>整修恢复。</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3 </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5</w:t>
            </w:r>
            <w:r>
              <w:rPr>
                <w:rFonts w:hint="eastAsia" w:ascii="仿宋_GB2312" w:hAnsi="仿宋_GB2312" w:eastAsia="仿宋_GB2312" w:cs="仿宋_GB2312"/>
                <w:sz w:val="24"/>
                <w:highlight w:val="none"/>
                <w:u w:val="none"/>
                <w:lang w:eastAsia="zh-CN"/>
              </w:rPr>
              <w:t>.</w:t>
            </w:r>
            <w:r>
              <w:rPr>
                <w:rFonts w:hint="eastAsia" w:ascii="仿宋_GB2312" w:hAnsi="仿宋_GB2312" w:eastAsia="仿宋_GB2312" w:cs="仿宋_GB2312"/>
                <w:sz w:val="24"/>
                <w:highlight w:val="none"/>
                <w:u w:val="none"/>
              </w:rPr>
              <w:t>历史环境要素 </w:t>
            </w:r>
          </w:p>
        </w:tc>
        <w:tc>
          <w:tcPr>
            <w:tcW w:w="1598"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（7）保存有体现镇传统特色和典型特征的环境要素数量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2处1分，每增加2处增加1分。</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lang w:eastAsia="zh"/>
              </w:rPr>
              <w:t>5</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rPr>
          <w:trHeight w:val="1720" w:hRule="atLeast"/>
        </w:trPr>
        <w:tc>
          <w:tcPr>
            <w:tcW w:w="902" w:type="pct"/>
            <w:vMerge w:val="restar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6</w:t>
            </w:r>
            <w:r>
              <w:rPr>
                <w:rFonts w:hint="eastAsia" w:ascii="仿宋_GB2312" w:hAnsi="仿宋_GB2312" w:eastAsia="仿宋_GB2312" w:cs="仿宋_GB2312"/>
                <w:sz w:val="24"/>
                <w:highlight w:val="none"/>
                <w:u w:val="none"/>
                <w:lang w:eastAsia="zh-CN"/>
              </w:rPr>
              <w:t>.</w:t>
            </w:r>
            <w:r>
              <w:rPr>
                <w:rFonts w:hint="eastAsia" w:ascii="仿宋_GB2312" w:hAnsi="仿宋_GB2312" w:eastAsia="仿宋_GB2312" w:cs="仿宋_GB2312"/>
                <w:sz w:val="24"/>
                <w:highlight w:val="none"/>
                <w:u w:val="none"/>
              </w:rPr>
              <w:t>历史街巷（河道）占比和规模 </w:t>
            </w:r>
          </w:p>
        </w:tc>
        <w:tc>
          <w:tcPr>
            <w:tcW w:w="1598" w:type="pct"/>
            <w:tcBorders>
              <w:top w:val="single" w:color="666666" w:sz="6" w:space="0"/>
              <w:left w:val="single" w:color="666666"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w:t>
            </w:r>
            <w:r>
              <w:rPr>
                <w:rFonts w:hint="eastAsia" w:ascii="仿宋_GB2312" w:hAnsi="仿宋_GB2312" w:eastAsia="仿宋_GB2312" w:cs="仿宋_GB2312"/>
                <w:sz w:val="24"/>
                <w:highlight w:val="none"/>
                <w:u w:val="none"/>
                <w:lang w:eastAsia="zh"/>
              </w:rPr>
              <w:t>8</w:t>
            </w:r>
            <w:r>
              <w:rPr>
                <w:rFonts w:hint="eastAsia" w:ascii="仿宋_GB2312" w:hAnsi="仿宋_GB2312" w:eastAsia="仿宋_GB2312" w:cs="仿宋_GB2312"/>
                <w:sz w:val="24"/>
                <w:highlight w:val="none"/>
                <w:u w:val="none"/>
              </w:rPr>
              <w:t>）保存有形态完整、传统风貌连续的历史街巷（河道）数量 </w:t>
            </w:r>
          </w:p>
        </w:tc>
        <w:tc>
          <w:tcPr>
            <w:tcW w:w="1805" w:type="pct"/>
            <w:tcBorders>
              <w:top w:val="single" w:color="666666" w:sz="6" w:space="0"/>
              <w:left w:val="single" w:color="666666"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2条1分，每增加1条增加1分。</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注：历史街巷或河道的走向、宽度均应保持原貌，且长度不应低于50米，3条及以上需有相交街巷，否则分值减半。 </w:t>
            </w:r>
          </w:p>
        </w:tc>
        <w:tc>
          <w:tcPr>
            <w:tcW w:w="341" w:type="pct"/>
            <w:tcBorders>
              <w:top w:val="single" w:color="666666" w:sz="6" w:space="0"/>
              <w:left w:val="single" w:color="666666"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5 </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598" w:type="pct"/>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w:t>
            </w:r>
            <w:r>
              <w:rPr>
                <w:rFonts w:hint="eastAsia" w:ascii="仿宋_GB2312" w:hAnsi="仿宋_GB2312" w:eastAsia="仿宋_GB2312" w:cs="仿宋_GB2312"/>
                <w:sz w:val="24"/>
                <w:highlight w:val="none"/>
                <w:u w:val="none"/>
                <w:lang w:eastAsia="zh"/>
              </w:rPr>
              <w:t>9</w:t>
            </w:r>
            <w:r>
              <w:rPr>
                <w:rFonts w:hint="eastAsia" w:ascii="仿宋_GB2312" w:hAnsi="仿宋_GB2312" w:eastAsia="仿宋_GB2312" w:cs="仿宋_GB2312"/>
                <w:sz w:val="24"/>
                <w:highlight w:val="none"/>
                <w:u w:val="none"/>
              </w:rPr>
              <w:t>）保存有形态完整、传统风貌连续的历史街巷（河道）总长度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200米1分，每增加200米增加1分。</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注：两侧或一侧有建筑的街巷（河道），文物建筑与历史建筑比例应为60%以上；对所有历史街巷（包括两侧均无建筑的街巷、河道），其路面（河岸）保持传统材料及铺装方式的比例均应为75%以上。 </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3 </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vMerge w:val="restar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7</w:t>
            </w:r>
            <w:r>
              <w:rPr>
                <w:rFonts w:hint="eastAsia" w:ascii="仿宋_GB2312" w:hAnsi="仿宋_GB2312" w:eastAsia="仿宋_GB2312" w:cs="仿宋_GB2312"/>
                <w:sz w:val="24"/>
                <w:highlight w:val="none"/>
                <w:u w:val="none"/>
                <w:lang w:eastAsia="zh-CN"/>
              </w:rPr>
              <w:t>.</w:t>
            </w:r>
            <w:r>
              <w:rPr>
                <w:rFonts w:hint="eastAsia" w:ascii="仿宋_GB2312" w:hAnsi="仿宋_GB2312" w:eastAsia="仿宋_GB2312" w:cs="仿宋_GB2312"/>
                <w:sz w:val="24"/>
                <w:highlight w:val="none"/>
                <w:u w:val="none"/>
              </w:rPr>
              <w:t>保护范围风貌完整性、历史真实性、空间格局及特色功能 </w:t>
            </w:r>
          </w:p>
        </w:tc>
        <w:tc>
          <w:tcPr>
            <w:tcW w:w="1598"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w:t>
            </w:r>
            <w:r>
              <w:rPr>
                <w:rFonts w:hint="eastAsia" w:ascii="仿宋_GB2312" w:hAnsi="仿宋_GB2312" w:eastAsia="仿宋_GB2312" w:cs="仿宋_GB2312"/>
                <w:sz w:val="24"/>
                <w:highlight w:val="none"/>
                <w:u w:val="none"/>
                <w:lang w:eastAsia="zh"/>
              </w:rPr>
              <w:t>10</w:t>
            </w:r>
            <w:r>
              <w:rPr>
                <w:rFonts w:hint="eastAsia" w:ascii="仿宋_GB2312" w:hAnsi="仿宋_GB2312" w:eastAsia="仿宋_GB2312" w:cs="仿宋_GB2312"/>
                <w:sz w:val="24"/>
                <w:highlight w:val="none"/>
                <w:u w:val="none"/>
              </w:rPr>
              <w:t>）空间格局及功能特色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聚落空间格局保持较为完整，传统功能尚在1分；聚落空间格局保持十分完整或仍保存有明显特殊功能（消防、给排水、防盗、防御等）反映传统布局特色理论2分；聚落空间格局既保持十分完整并且保存有明显特殊功能反映传统布局特色理论3分。 </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3 </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598" w:type="pct"/>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w:t>
            </w:r>
            <w:r>
              <w:rPr>
                <w:rFonts w:hint="eastAsia" w:ascii="仿宋_GB2312" w:hAnsi="仿宋_GB2312" w:eastAsia="仿宋_GB2312" w:cs="仿宋_GB2312"/>
                <w:sz w:val="24"/>
                <w:highlight w:val="none"/>
                <w:u w:val="none"/>
                <w:lang w:eastAsia="zh"/>
              </w:rPr>
              <w:t>11</w:t>
            </w:r>
            <w:r>
              <w:rPr>
                <w:rFonts w:hint="eastAsia" w:ascii="仿宋_GB2312" w:hAnsi="仿宋_GB2312" w:eastAsia="仿宋_GB2312" w:cs="仿宋_GB2312"/>
                <w:sz w:val="24"/>
                <w:highlight w:val="none"/>
                <w:u w:val="none"/>
              </w:rPr>
              <w:t>）保护范围用地面积规模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5公顷及以下1分；每增加2公顷增加1分。</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5 </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598" w:type="pct"/>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w:t>
            </w:r>
            <w:r>
              <w:rPr>
                <w:rFonts w:hint="eastAsia" w:ascii="仿宋_GB2312" w:hAnsi="仿宋_GB2312" w:eastAsia="仿宋_GB2312" w:cs="仿宋_GB2312"/>
                <w:sz w:val="24"/>
                <w:highlight w:val="none"/>
                <w:u w:val="none"/>
                <w:lang w:eastAsia="zh"/>
              </w:rPr>
              <w:t>2</w:t>
            </w:r>
            <w:r>
              <w:rPr>
                <w:rFonts w:hint="eastAsia" w:ascii="仿宋_GB2312" w:hAnsi="仿宋_GB2312" w:eastAsia="仿宋_GB2312" w:cs="仿宋_GB2312"/>
                <w:sz w:val="24"/>
                <w:highlight w:val="none"/>
                <w:u w:val="none"/>
              </w:rPr>
              <w:t>）保护范围文物保护单位、</w:t>
            </w:r>
            <w:r>
              <w:rPr>
                <w:rFonts w:hint="eastAsia" w:ascii="仿宋_GB2312" w:hAnsi="仿宋_GB2312" w:eastAsia="仿宋_GB2312" w:cs="仿宋_GB2312"/>
                <w:sz w:val="24"/>
                <w:highlight w:val="none"/>
                <w:u w:val="none"/>
                <w:lang w:eastAsia="zh-CN"/>
              </w:rPr>
              <w:t>未定级不可移动文物</w:t>
            </w:r>
            <w:r>
              <w:rPr>
                <w:rFonts w:hint="eastAsia" w:ascii="仿宋_GB2312" w:hAnsi="仿宋_GB2312" w:eastAsia="仿宋_GB2312" w:cs="仿宋_GB2312"/>
                <w:sz w:val="24"/>
                <w:highlight w:val="none"/>
                <w:u w:val="none"/>
              </w:rPr>
              <w:t>数量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5处1分，每增加3处增加1分。 </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4 </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598" w:type="pct"/>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w:t>
            </w:r>
            <w:r>
              <w:rPr>
                <w:rFonts w:hint="eastAsia" w:ascii="仿宋_GB2312" w:hAnsi="仿宋_GB2312" w:eastAsia="仿宋_GB2312" w:cs="仿宋_GB2312"/>
                <w:sz w:val="24"/>
                <w:highlight w:val="none"/>
                <w:u w:val="none"/>
                <w:lang w:eastAsia="zh"/>
              </w:rPr>
              <w:t>3</w:t>
            </w:r>
            <w:r>
              <w:rPr>
                <w:rFonts w:hint="eastAsia" w:ascii="仿宋_GB2312" w:hAnsi="仿宋_GB2312" w:eastAsia="仿宋_GB2312" w:cs="仿宋_GB2312"/>
                <w:sz w:val="24"/>
                <w:highlight w:val="none"/>
                <w:u w:val="none"/>
              </w:rPr>
              <w:t>）保护范围历史建筑数量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5处1分，每增加5处增加1分。 </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6 </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8</w:t>
            </w:r>
            <w:r>
              <w:rPr>
                <w:rFonts w:hint="eastAsia" w:ascii="仿宋_GB2312" w:hAnsi="仿宋_GB2312" w:eastAsia="仿宋_GB2312" w:cs="仿宋_GB2312"/>
                <w:sz w:val="24"/>
                <w:highlight w:val="none"/>
                <w:u w:val="none"/>
                <w:lang w:eastAsia="zh-CN"/>
              </w:rPr>
              <w:t>.</w:t>
            </w:r>
            <w:r>
              <w:rPr>
                <w:rFonts w:hint="eastAsia" w:ascii="仿宋_GB2312" w:hAnsi="仿宋_GB2312" w:eastAsia="仿宋_GB2312" w:cs="仿宋_GB2312"/>
                <w:sz w:val="24"/>
                <w:highlight w:val="none"/>
                <w:u w:val="none"/>
              </w:rPr>
              <w:t>保护范围</w:t>
            </w:r>
            <w:r>
              <w:rPr>
                <w:rFonts w:hint="eastAsia" w:ascii="仿宋_GB2312" w:hAnsi="仿宋_GB2312" w:eastAsia="仿宋_GB2312" w:cs="仿宋_GB2312"/>
                <w:sz w:val="24"/>
                <w:highlight w:val="none"/>
                <w:u w:val="none"/>
                <w:lang w:eastAsia="zh-CN"/>
              </w:rPr>
              <w:t>活态传承</w:t>
            </w:r>
            <w:r>
              <w:rPr>
                <w:rFonts w:hint="eastAsia" w:ascii="仿宋_GB2312" w:hAnsi="仿宋_GB2312" w:eastAsia="仿宋_GB2312" w:cs="仿宋_GB2312"/>
                <w:sz w:val="24"/>
                <w:highlight w:val="none"/>
                <w:u w:val="none"/>
              </w:rPr>
              <w:t>性 </w:t>
            </w:r>
          </w:p>
        </w:tc>
        <w:tc>
          <w:tcPr>
            <w:tcW w:w="1598"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w:t>
            </w:r>
            <w:r>
              <w:rPr>
                <w:rFonts w:hint="eastAsia" w:ascii="仿宋_GB2312" w:hAnsi="仿宋_GB2312" w:eastAsia="仿宋_GB2312" w:cs="仿宋_GB2312"/>
                <w:sz w:val="24"/>
                <w:highlight w:val="none"/>
                <w:u w:val="none"/>
                <w:lang w:eastAsia="zh"/>
              </w:rPr>
              <w:t>4</w:t>
            </w:r>
            <w:r>
              <w:rPr>
                <w:rFonts w:hint="eastAsia" w:ascii="仿宋_GB2312" w:hAnsi="仿宋_GB2312" w:eastAsia="仿宋_GB2312" w:cs="仿宋_GB2312"/>
                <w:sz w:val="24"/>
                <w:highlight w:val="none"/>
                <w:u w:val="none"/>
              </w:rPr>
              <w:t>）保护范围中原住居民比例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50%及以下1分，每增加10%增加1分。</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注：每公顷用地面积常住人口不得小于50人，否则分值减半。 </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5 </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vMerge w:val="restar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9</w:t>
            </w:r>
            <w:r>
              <w:rPr>
                <w:rFonts w:hint="eastAsia" w:ascii="仿宋_GB2312" w:hAnsi="仿宋_GB2312" w:eastAsia="仿宋_GB2312" w:cs="仿宋_GB2312"/>
                <w:sz w:val="24"/>
                <w:highlight w:val="none"/>
                <w:u w:val="none"/>
                <w:lang w:eastAsia="zh-CN"/>
              </w:rPr>
              <w:t>.</w:t>
            </w:r>
            <w:r>
              <w:rPr>
                <w:rFonts w:hint="eastAsia" w:ascii="仿宋_GB2312" w:hAnsi="仿宋_GB2312" w:eastAsia="仿宋_GB2312" w:cs="仿宋_GB2312"/>
                <w:sz w:val="24"/>
                <w:highlight w:val="none"/>
                <w:u w:val="none"/>
              </w:rPr>
              <w:t>非物质文化遗产 </w:t>
            </w:r>
          </w:p>
        </w:tc>
        <w:tc>
          <w:tcPr>
            <w:tcW w:w="1598"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w:t>
            </w:r>
            <w:r>
              <w:rPr>
                <w:rFonts w:hint="eastAsia" w:ascii="仿宋_GB2312" w:hAnsi="仿宋_GB2312" w:eastAsia="仿宋_GB2312" w:cs="仿宋_GB2312"/>
                <w:sz w:val="24"/>
                <w:highlight w:val="none"/>
                <w:u w:val="none"/>
                <w:lang w:eastAsia="zh"/>
              </w:rPr>
              <w:t>5</w:t>
            </w:r>
            <w:r>
              <w:rPr>
                <w:rFonts w:hint="eastAsia" w:ascii="仿宋_GB2312" w:hAnsi="仿宋_GB2312" w:eastAsia="仿宋_GB2312" w:cs="仿宋_GB2312"/>
                <w:sz w:val="24"/>
                <w:highlight w:val="none"/>
                <w:u w:val="none"/>
              </w:rPr>
              <w:t>）拥有传统节日、传统手工艺和特色传统风俗类型，以及源于本地，并广为流传的诗词、传说、戏曲、歌赋的数量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2个1分；每增加2个增加1分。 </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lang w:eastAsia="zh"/>
              </w:rPr>
              <w:t>5</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598" w:type="pct"/>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w:t>
            </w:r>
            <w:r>
              <w:rPr>
                <w:rFonts w:hint="eastAsia" w:ascii="仿宋_GB2312" w:hAnsi="仿宋_GB2312" w:eastAsia="仿宋_GB2312" w:cs="仿宋_GB2312"/>
                <w:sz w:val="24"/>
                <w:highlight w:val="none"/>
                <w:u w:val="none"/>
                <w:lang w:eastAsia="zh"/>
              </w:rPr>
              <w:t>6</w:t>
            </w:r>
            <w:r>
              <w:rPr>
                <w:rFonts w:hint="eastAsia" w:ascii="仿宋_GB2312" w:hAnsi="仿宋_GB2312" w:eastAsia="仿宋_GB2312" w:cs="仿宋_GB2312"/>
                <w:sz w:val="24"/>
                <w:highlight w:val="none"/>
                <w:u w:val="none"/>
              </w:rPr>
              <w:t>）非物质文化遗产代表性项目等级及数量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国家级1处及以上3分；省级1处1分，每增加1处增加0.5分；市县级1处0.5分，每增加1处增加0.2分。</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注：不同等级非物质文化遗产得分相加最高为</w:t>
            </w:r>
            <w:r>
              <w:rPr>
                <w:rFonts w:hint="eastAsia" w:ascii="仿宋_GB2312" w:hAnsi="仿宋_GB2312" w:eastAsia="仿宋_GB2312" w:cs="仿宋_GB2312"/>
                <w:sz w:val="24"/>
                <w:highlight w:val="none"/>
                <w:u w:val="none"/>
                <w:lang w:eastAsia="zh"/>
              </w:rPr>
              <w:t>5</w:t>
            </w:r>
            <w:r>
              <w:rPr>
                <w:rFonts w:hint="eastAsia" w:ascii="仿宋_GB2312" w:hAnsi="仿宋_GB2312" w:eastAsia="仿宋_GB2312" w:cs="仿宋_GB2312"/>
                <w:sz w:val="24"/>
                <w:highlight w:val="none"/>
                <w:u w:val="none"/>
              </w:rPr>
              <w:t>分。 </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lang w:eastAsia="zh"/>
              </w:rPr>
              <w:t>5</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二、保护措施 </w:t>
            </w:r>
          </w:p>
        </w:tc>
        <w:tc>
          <w:tcPr>
            <w:tcW w:w="1598"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30 </w:t>
            </w:r>
          </w:p>
        </w:tc>
        <w:tc>
          <w:tcPr>
            <w:tcW w:w="2499" w:type="pct"/>
            <w:gridSpan w:val="3"/>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rPr>
          <w:trHeight w:val="1380" w:hRule="atLeast"/>
        </w:trPr>
        <w:tc>
          <w:tcPr>
            <w:tcW w:w="902"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10</w:t>
            </w:r>
            <w:r>
              <w:rPr>
                <w:rFonts w:hint="eastAsia" w:ascii="仿宋_GB2312" w:hAnsi="仿宋_GB2312" w:eastAsia="仿宋_GB2312" w:cs="仿宋_GB2312"/>
                <w:sz w:val="24"/>
                <w:highlight w:val="none"/>
                <w:u w:val="none"/>
                <w:lang w:eastAsia="zh-CN"/>
              </w:rPr>
              <w:t>.</w:t>
            </w:r>
            <w:r>
              <w:rPr>
                <w:rFonts w:hint="eastAsia" w:ascii="仿宋_GB2312" w:hAnsi="仿宋_GB2312" w:eastAsia="仿宋_GB2312" w:cs="仿宋_GB2312"/>
                <w:sz w:val="24"/>
                <w:highlight w:val="none"/>
                <w:u w:val="none"/>
              </w:rPr>
              <w:t>保护规划 </w:t>
            </w:r>
          </w:p>
        </w:tc>
        <w:tc>
          <w:tcPr>
            <w:tcW w:w="1598"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w:t>
            </w:r>
            <w:r>
              <w:rPr>
                <w:rFonts w:hint="eastAsia" w:ascii="仿宋_GB2312" w:hAnsi="仿宋_GB2312" w:eastAsia="仿宋_GB2312" w:cs="仿宋_GB2312"/>
                <w:sz w:val="24"/>
                <w:highlight w:val="none"/>
                <w:u w:val="none"/>
                <w:lang w:eastAsia="zh"/>
              </w:rPr>
              <w:t>7</w:t>
            </w:r>
            <w:r>
              <w:rPr>
                <w:rFonts w:hint="eastAsia" w:ascii="仿宋_GB2312" w:hAnsi="仿宋_GB2312" w:eastAsia="仿宋_GB2312" w:cs="仿宋_GB2312"/>
                <w:sz w:val="24"/>
                <w:highlight w:val="none"/>
                <w:u w:val="none"/>
              </w:rPr>
              <w:t>）保护规划编制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val="0"/>
              <w:spacing w:beforeAutospacing="1" w:after="0" w:afterLines="0" w:line="340" w:lineRule="exact"/>
              <w:jc w:val="both"/>
              <w:rPr>
                <w:rFonts w:hint="eastAsia" w:ascii="仿宋_GB2312" w:hAnsi="仿宋_GB2312" w:eastAsia="仿宋_GB2312" w:cs="仿宋_GB2312"/>
                <w:sz w:val="24"/>
                <w:highlight w:val="none"/>
                <w:u w:val="none"/>
              </w:rPr>
            </w:pPr>
            <w:r>
              <w:rPr>
                <w:rFonts w:hint="eastAsia" w:ascii="仿宋_GB2312" w:hAnsi="仿宋_GB2312" w:eastAsia="仿宋_GB2312" w:cs="仿宋_GB2312"/>
                <w:kern w:val="2"/>
                <w:sz w:val="24"/>
                <w:szCs w:val="24"/>
                <w:highlight w:val="none"/>
                <w:u w:val="none"/>
                <w:lang w:val="en-US" w:eastAsia="zh-CN" w:bidi="ar"/>
              </w:rPr>
              <w:t>已委托编制，并形成初步成果1分；已通过专家评审3分；已经市人民政府批准5分。没有编制的此项不得分。</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lang w:eastAsia="zh"/>
              </w:rPr>
              <w:t>5</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vMerge w:val="restart"/>
            <w:tcBorders>
              <w:top w:val="single" w:color="666666" w:sz="6" w:space="0"/>
              <w:left w:val="single" w:color="666666"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11</w:t>
            </w:r>
            <w:r>
              <w:rPr>
                <w:rFonts w:hint="eastAsia" w:ascii="仿宋_GB2312" w:hAnsi="仿宋_GB2312" w:eastAsia="仿宋_GB2312" w:cs="仿宋_GB2312"/>
                <w:sz w:val="24"/>
                <w:highlight w:val="none"/>
                <w:u w:val="none"/>
                <w:lang w:eastAsia="zh-CN"/>
              </w:rPr>
              <w:t>.</w:t>
            </w:r>
            <w:r>
              <w:rPr>
                <w:rFonts w:hint="eastAsia" w:ascii="仿宋_GB2312" w:hAnsi="仿宋_GB2312" w:eastAsia="仿宋_GB2312" w:cs="仿宋_GB2312"/>
                <w:sz w:val="24"/>
                <w:highlight w:val="none"/>
                <w:u w:val="none"/>
              </w:rPr>
              <w:t>保护修复措施 </w:t>
            </w:r>
          </w:p>
        </w:tc>
        <w:tc>
          <w:tcPr>
            <w:tcW w:w="1598" w:type="pct"/>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w:t>
            </w:r>
            <w:r>
              <w:rPr>
                <w:rFonts w:hint="eastAsia" w:ascii="仿宋_GB2312" w:hAnsi="仿宋_GB2312" w:eastAsia="仿宋_GB2312" w:cs="仿宋_GB2312"/>
                <w:sz w:val="24"/>
                <w:highlight w:val="none"/>
                <w:u w:val="none"/>
                <w:lang w:eastAsia="zh"/>
              </w:rPr>
              <w:t>18</w:t>
            </w:r>
            <w:r>
              <w:rPr>
                <w:rFonts w:hint="eastAsia" w:ascii="仿宋_GB2312" w:hAnsi="仿宋_GB2312" w:eastAsia="仿宋_GB2312" w:cs="仿宋_GB2312"/>
                <w:sz w:val="24"/>
                <w:highlight w:val="none"/>
                <w:u w:val="none"/>
              </w:rPr>
              <w:t>）对</w:t>
            </w:r>
            <w:r>
              <w:rPr>
                <w:rFonts w:hint="eastAsia" w:ascii="仿宋_GB2312" w:hAnsi="仿宋_GB2312" w:eastAsia="仿宋_GB2312" w:cs="仿宋_GB2312"/>
                <w:sz w:val="24"/>
                <w:highlight w:val="none"/>
                <w:u w:val="none"/>
                <w:lang w:eastAsia="zh-CN"/>
              </w:rPr>
              <w:t>未定级不可移动文物</w:t>
            </w:r>
            <w:r>
              <w:rPr>
                <w:rFonts w:hint="eastAsia" w:ascii="仿宋_GB2312" w:hAnsi="仿宋_GB2312" w:eastAsia="仿宋_GB2312" w:cs="仿宋_GB2312"/>
                <w:sz w:val="24"/>
                <w:highlight w:val="none"/>
                <w:u w:val="none"/>
              </w:rPr>
              <w:t>建档并挂牌保护的比例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50%及以下1分；每增加10%增加1分。 </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lang w:val="en-US" w:eastAsia="zh-CN"/>
              </w:rPr>
              <w:t>6</w:t>
            </w:r>
            <w:r>
              <w:rPr>
                <w:rFonts w:hint="eastAsia" w:ascii="仿宋_GB2312" w:hAnsi="仿宋_GB2312" w:eastAsia="仿宋_GB2312" w:cs="仿宋_GB2312"/>
                <w:sz w:val="24"/>
                <w:highlight w:val="none"/>
                <w:u w:val="none"/>
              </w:rPr>
              <w:t> </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598" w:type="pct"/>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w:t>
            </w:r>
            <w:r>
              <w:rPr>
                <w:rFonts w:hint="eastAsia" w:ascii="仿宋_GB2312" w:hAnsi="仿宋_GB2312" w:eastAsia="仿宋_GB2312" w:cs="仿宋_GB2312"/>
                <w:sz w:val="24"/>
                <w:highlight w:val="none"/>
                <w:u w:val="none"/>
                <w:lang w:eastAsia="zh"/>
              </w:rPr>
              <w:t>19</w:t>
            </w:r>
            <w:r>
              <w:rPr>
                <w:rFonts w:hint="eastAsia" w:ascii="仿宋_GB2312" w:hAnsi="仿宋_GB2312" w:eastAsia="仿宋_GB2312" w:cs="仿宋_GB2312"/>
                <w:sz w:val="24"/>
                <w:highlight w:val="none"/>
                <w:u w:val="none"/>
              </w:rPr>
              <w:t>）对历史建筑挂牌保护的比例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未挂牌不得分，60%及以下1分；每增加10%增加1分。 </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lang w:val="en-US" w:eastAsia="zh-CN"/>
              </w:rPr>
              <w:t>6</w:t>
            </w:r>
            <w:r>
              <w:rPr>
                <w:rFonts w:hint="eastAsia" w:ascii="仿宋_GB2312" w:hAnsi="仿宋_GB2312" w:eastAsia="仿宋_GB2312" w:cs="仿宋_GB2312"/>
                <w:sz w:val="24"/>
                <w:highlight w:val="none"/>
                <w:u w:val="none"/>
              </w:rPr>
              <w:t> </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598" w:type="pct"/>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w:t>
            </w:r>
            <w:r>
              <w:rPr>
                <w:rFonts w:hint="eastAsia" w:ascii="仿宋_GB2312" w:hAnsi="仿宋_GB2312" w:eastAsia="仿宋_GB2312" w:cs="仿宋_GB2312"/>
                <w:sz w:val="24"/>
                <w:highlight w:val="none"/>
                <w:u w:val="none"/>
                <w:lang w:eastAsia="zh"/>
              </w:rPr>
              <w:t>20</w:t>
            </w:r>
            <w:r>
              <w:rPr>
                <w:rFonts w:hint="eastAsia" w:ascii="仿宋_GB2312" w:hAnsi="仿宋_GB2312" w:eastAsia="仿宋_GB2312" w:cs="仿宋_GB2312"/>
                <w:sz w:val="24"/>
                <w:highlight w:val="none"/>
                <w:u w:val="none"/>
              </w:rPr>
              <w:t>）建立修复建设公示栏情况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建立修复、建设公示栏2分。  </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2 </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vMerge w:val="restar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12</w:t>
            </w:r>
            <w:r>
              <w:rPr>
                <w:rFonts w:hint="eastAsia" w:ascii="仿宋_GB2312" w:hAnsi="仿宋_GB2312" w:eastAsia="仿宋_GB2312" w:cs="仿宋_GB2312"/>
                <w:sz w:val="24"/>
                <w:highlight w:val="none"/>
                <w:u w:val="none"/>
                <w:lang w:eastAsia="zh-CN"/>
              </w:rPr>
              <w:t>.</w:t>
            </w:r>
            <w:r>
              <w:rPr>
                <w:rFonts w:hint="eastAsia" w:ascii="仿宋_GB2312" w:hAnsi="仿宋_GB2312" w:eastAsia="仿宋_GB2312" w:cs="仿宋_GB2312"/>
                <w:sz w:val="24"/>
                <w:highlight w:val="none"/>
                <w:u w:val="none"/>
              </w:rPr>
              <w:t>保障机制 </w:t>
            </w:r>
          </w:p>
        </w:tc>
        <w:tc>
          <w:tcPr>
            <w:tcW w:w="1598"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w:t>
            </w:r>
            <w:r>
              <w:rPr>
                <w:rFonts w:hint="eastAsia" w:ascii="仿宋_GB2312" w:hAnsi="仿宋_GB2312" w:eastAsia="仿宋_GB2312" w:cs="仿宋_GB2312"/>
                <w:sz w:val="24"/>
                <w:highlight w:val="none"/>
                <w:u w:val="none"/>
                <w:lang w:eastAsia="zh"/>
              </w:rPr>
              <w:t>21</w:t>
            </w:r>
            <w:r>
              <w:rPr>
                <w:rFonts w:hint="eastAsia" w:ascii="仿宋_GB2312" w:hAnsi="仿宋_GB2312" w:eastAsia="仿宋_GB2312" w:cs="仿宋_GB2312"/>
                <w:sz w:val="24"/>
                <w:highlight w:val="none"/>
                <w:u w:val="none"/>
              </w:rPr>
              <w:t>）保护管理办法的</w:t>
            </w:r>
            <w:r>
              <w:rPr>
                <w:rFonts w:hint="eastAsia" w:ascii="仿宋_GB2312" w:hAnsi="仿宋_GB2312" w:eastAsia="仿宋_GB2312" w:cs="仿宋_GB2312"/>
                <w:sz w:val="24"/>
                <w:highlight w:val="none"/>
                <w:u w:val="none"/>
                <w:lang w:eastAsia="zh-CN"/>
              </w:rPr>
              <w:t>制订</w:t>
            </w:r>
            <w:r>
              <w:rPr>
                <w:rFonts w:hint="eastAsia" w:ascii="仿宋_GB2312" w:hAnsi="仿宋_GB2312" w:eastAsia="仿宋_GB2312" w:cs="仿宋_GB2312"/>
                <w:sz w:val="24"/>
                <w:highlight w:val="none"/>
                <w:u w:val="none"/>
              </w:rPr>
              <w:t>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办法已</w:t>
            </w:r>
            <w:r>
              <w:rPr>
                <w:rFonts w:hint="eastAsia" w:ascii="仿宋_GB2312" w:hAnsi="仿宋_GB2312" w:eastAsia="仿宋_GB2312" w:cs="仿宋_GB2312"/>
                <w:sz w:val="24"/>
                <w:highlight w:val="none"/>
                <w:u w:val="none"/>
                <w:lang w:eastAsia="zh-CN"/>
              </w:rPr>
              <w:t>制订</w:t>
            </w:r>
            <w:r>
              <w:rPr>
                <w:rFonts w:hint="eastAsia" w:ascii="仿宋_GB2312" w:hAnsi="仿宋_GB2312" w:eastAsia="仿宋_GB2312" w:cs="仿宋_GB2312"/>
                <w:sz w:val="24"/>
                <w:highlight w:val="none"/>
                <w:u w:val="none"/>
              </w:rPr>
              <w:t>1分；正式颁布2分。 </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2 </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598" w:type="pct"/>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w:t>
            </w:r>
            <w:r>
              <w:rPr>
                <w:rFonts w:hint="eastAsia" w:ascii="仿宋_GB2312" w:hAnsi="仿宋_GB2312" w:eastAsia="仿宋_GB2312" w:cs="仿宋_GB2312"/>
                <w:sz w:val="24"/>
                <w:highlight w:val="none"/>
                <w:u w:val="none"/>
                <w:lang w:eastAsia="zh"/>
              </w:rPr>
              <w:t>22</w:t>
            </w:r>
            <w:r>
              <w:rPr>
                <w:rFonts w:hint="eastAsia" w:ascii="仿宋_GB2312" w:hAnsi="仿宋_GB2312" w:eastAsia="仿宋_GB2312" w:cs="仿宋_GB2312"/>
                <w:sz w:val="24"/>
                <w:highlight w:val="none"/>
                <w:u w:val="none"/>
              </w:rPr>
              <w:t>）保护机构及人员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有保护管理人员</w:t>
            </w:r>
            <w:r>
              <w:rPr>
                <w:rFonts w:hint="eastAsia" w:ascii="仿宋_GB2312" w:hAnsi="仿宋_GB2312" w:eastAsia="仿宋_GB2312" w:cs="仿宋_GB2312"/>
                <w:sz w:val="24"/>
                <w:highlight w:val="none"/>
                <w:u w:val="none"/>
                <w:lang w:eastAsia="zh"/>
              </w:rPr>
              <w:t>2</w:t>
            </w:r>
            <w:r>
              <w:rPr>
                <w:rFonts w:hint="eastAsia" w:ascii="仿宋_GB2312" w:hAnsi="仿宋_GB2312" w:eastAsia="仿宋_GB2312" w:cs="仿宋_GB2312"/>
                <w:sz w:val="24"/>
                <w:highlight w:val="none"/>
                <w:u w:val="none"/>
              </w:rPr>
              <w:t>分；有专门保护管理机构</w:t>
            </w:r>
            <w:r>
              <w:rPr>
                <w:rFonts w:hint="eastAsia" w:ascii="仿宋_GB2312" w:hAnsi="仿宋_GB2312" w:eastAsia="仿宋_GB2312" w:cs="仿宋_GB2312"/>
                <w:sz w:val="24"/>
                <w:highlight w:val="none"/>
                <w:u w:val="none"/>
                <w:lang w:eastAsia="zh"/>
              </w:rPr>
              <w:t>4</w:t>
            </w:r>
            <w:r>
              <w:rPr>
                <w:rFonts w:hint="eastAsia" w:ascii="仿宋_GB2312" w:hAnsi="仿宋_GB2312" w:eastAsia="仿宋_GB2312" w:cs="仿宋_GB2312"/>
                <w:sz w:val="24"/>
                <w:highlight w:val="none"/>
                <w:u w:val="none"/>
              </w:rPr>
              <w:t>分；已成立政府牵头多部门组成的保护协调</w:t>
            </w:r>
            <w:r>
              <w:rPr>
                <w:rFonts w:hint="eastAsia" w:ascii="仿宋_GB2312" w:hAnsi="仿宋_GB2312" w:eastAsia="仿宋_GB2312" w:cs="仿宋_GB2312"/>
                <w:sz w:val="24"/>
                <w:highlight w:val="none"/>
                <w:u w:val="none"/>
                <w:lang w:eastAsia="zh"/>
              </w:rPr>
              <w:t>机制6</w:t>
            </w:r>
            <w:r>
              <w:rPr>
                <w:rFonts w:hint="eastAsia" w:ascii="仿宋_GB2312" w:hAnsi="仿宋_GB2312" w:eastAsia="仿宋_GB2312" w:cs="仿宋_GB2312"/>
                <w:sz w:val="24"/>
                <w:highlight w:val="none"/>
                <w:u w:val="none"/>
              </w:rPr>
              <w:t>分。 </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lang w:eastAsia="zh"/>
              </w:rPr>
              <w:t>6</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598" w:type="pct"/>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（2</w:t>
            </w:r>
            <w:r>
              <w:rPr>
                <w:rFonts w:hint="eastAsia" w:ascii="仿宋_GB2312" w:hAnsi="仿宋_GB2312" w:eastAsia="仿宋_GB2312" w:cs="仿宋_GB2312"/>
                <w:sz w:val="24"/>
                <w:highlight w:val="none"/>
                <w:u w:val="none"/>
                <w:lang w:eastAsia="zh"/>
              </w:rPr>
              <w:t>3</w:t>
            </w:r>
            <w:r>
              <w:rPr>
                <w:rFonts w:hint="eastAsia" w:ascii="仿宋_GB2312" w:hAnsi="仿宋_GB2312" w:eastAsia="仿宋_GB2312" w:cs="仿宋_GB2312"/>
                <w:sz w:val="24"/>
                <w:highlight w:val="none"/>
                <w:u w:val="none"/>
              </w:rPr>
              <w:t>）每年用于保护维修资金占全年镇建设资金 </w:t>
            </w:r>
          </w:p>
        </w:tc>
        <w:tc>
          <w:tcPr>
            <w:tcW w:w="180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10%（含）1分；每增加10%增加1分。</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（注：资金使用范围限于镇建成区范围内）。 </w:t>
            </w:r>
          </w:p>
        </w:tc>
        <w:tc>
          <w:tcPr>
            <w:tcW w:w="341"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3 </w:t>
            </w:r>
          </w:p>
        </w:tc>
        <w:tc>
          <w:tcPr>
            <w:tcW w:w="352"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902" w:type="pct"/>
            <w:tcBorders>
              <w:top w:val="single" w:color="666666" w:sz="6" w:space="0"/>
              <w:left w:val="single" w:color="666666" w:sz="6" w:space="0"/>
              <w:bottom w:val="single" w:color="666666"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总计 </w:t>
            </w:r>
          </w:p>
        </w:tc>
        <w:tc>
          <w:tcPr>
            <w:tcW w:w="1598" w:type="pct"/>
            <w:tcBorders>
              <w:top w:val="single" w:color="666666" w:sz="6" w:space="0"/>
              <w:left w:val="single" w:color="666666" w:sz="6" w:space="0"/>
              <w:bottom w:val="single" w:color="666666"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其中：一、价值特色为 分； 二、保护措施为 分 </w:t>
            </w:r>
          </w:p>
        </w:tc>
        <w:tc>
          <w:tcPr>
            <w:tcW w:w="1805" w:type="pct"/>
            <w:tcBorders>
              <w:top w:val="single" w:color="666666" w:sz="6" w:space="0"/>
              <w:left w:val="single" w:color="666666" w:sz="6" w:space="0"/>
              <w:bottom w:val="single" w:color="666666"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100 </w:t>
            </w:r>
          </w:p>
        </w:tc>
        <w:tc>
          <w:tcPr>
            <w:tcW w:w="694" w:type="pct"/>
            <w:gridSpan w:val="2"/>
            <w:tcBorders>
              <w:top w:val="single" w:color="666666" w:sz="6" w:space="0"/>
              <w:left w:val="single" w:color="666666" w:sz="6" w:space="0"/>
              <w:bottom w:val="single" w:color="666666"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bl>
    <w:p>
      <w:pPr>
        <w:tabs>
          <w:tab w:val="center" w:pos="4349"/>
          <w:tab w:val="left" w:pos="5960"/>
        </w:tabs>
        <w:adjustRightInd w:val="0"/>
        <w:snapToGrid w:val="0"/>
        <w:spacing w:after="156" w:afterLines="50" w:line="560" w:lineRule="exact"/>
        <w:rPr>
          <w:rFonts w:hint="eastAsia" w:ascii="楷体_GB2312" w:hAnsi="楷体_GB2312" w:eastAsia="仿宋_GB2312" w:cs="楷体_GB2312"/>
          <w:bCs/>
          <w:sz w:val="28"/>
          <w:szCs w:val="28"/>
          <w:highlight w:val="none"/>
          <w:u w:val="none"/>
        </w:rPr>
      </w:pPr>
      <w:r>
        <w:rPr>
          <w:rFonts w:hint="eastAsia" w:ascii="宋体" w:hAnsi="宋体"/>
          <w:szCs w:val="21"/>
          <w:highlight w:val="none"/>
          <w:u w:val="none"/>
        </w:rPr>
        <w:br w:type="textWrapping"/>
      </w:r>
    </w:p>
    <w:p>
      <w:pPr>
        <w:widowControl/>
        <w:jc w:val="left"/>
        <w:rPr>
          <w:rFonts w:hint="eastAsia" w:ascii="楷体_GB2312" w:hAnsi="楷体_GB2312" w:eastAsia="仿宋_GB2312" w:cs="楷体_GB2312"/>
          <w:bCs/>
          <w:sz w:val="28"/>
          <w:szCs w:val="28"/>
          <w:highlight w:val="none"/>
          <w:u w:val="none"/>
        </w:rPr>
      </w:pPr>
      <w:r>
        <w:rPr>
          <w:rFonts w:hint="eastAsia" w:ascii="楷体_GB2312" w:hAnsi="楷体_GB2312" w:eastAsia="仿宋_GB2312" w:cs="楷体_GB2312"/>
          <w:bCs/>
          <w:sz w:val="28"/>
          <w:szCs w:val="28"/>
          <w:highlight w:val="none"/>
          <w:u w:val="none"/>
        </w:rPr>
        <w:br w:type="page"/>
      </w:r>
    </w:p>
    <w:p>
      <w:pPr>
        <w:tabs>
          <w:tab w:val="center" w:pos="4349"/>
          <w:tab w:val="left" w:pos="5960"/>
        </w:tabs>
        <w:adjustRightInd w:val="0"/>
        <w:snapToGrid w:val="0"/>
        <w:spacing w:after="156" w:afterLines="50" w:line="560" w:lineRule="exact"/>
        <w:rPr>
          <w:rFonts w:hint="eastAsia" w:ascii="黑体" w:hAnsi="黑体" w:eastAsia="黑体" w:cs="黑体"/>
          <w:bCs/>
          <w:sz w:val="28"/>
          <w:szCs w:val="28"/>
          <w:highlight w:val="none"/>
          <w:u w:val="none"/>
        </w:rPr>
      </w:pPr>
      <w:r>
        <w:rPr>
          <w:rFonts w:hint="eastAsia" w:ascii="黑体" w:hAnsi="黑体" w:eastAsia="黑体" w:cs="黑体"/>
          <w:bCs/>
          <w:sz w:val="28"/>
          <w:szCs w:val="28"/>
          <w:highlight w:val="none"/>
          <w:u w:val="none"/>
        </w:rPr>
        <w:t>附件2 上海市历史文化名镇申报表</w:t>
      </w:r>
    </w:p>
    <w:p>
      <w:pPr>
        <w:widowControl/>
        <w:spacing w:after="156" w:afterLines="50" w:line="340" w:lineRule="exact"/>
        <w:jc w:val="left"/>
        <w:rPr>
          <w:rFonts w:hint="eastAsia" w:ascii="仿宋_GB2312" w:hAnsi="仿宋_GB2312" w:eastAsia="仿宋_GB2312" w:cs="仿宋_GB2312"/>
          <w:sz w:val="22"/>
          <w:szCs w:val="22"/>
          <w:highlight w:val="none"/>
          <w:u w:val="none"/>
        </w:rPr>
      </w:pPr>
      <w:r>
        <w:rPr>
          <w:rFonts w:hint="eastAsia" w:ascii="仿宋_GB2312" w:hAnsi="仿宋_GB2312" w:eastAsia="仿宋_GB2312" w:cs="仿宋_GB2312"/>
          <w:sz w:val="22"/>
          <w:szCs w:val="22"/>
          <w:highlight w:val="none"/>
          <w:u w:val="none"/>
        </w:rPr>
        <w:t xml:space="preserve">名称：        区　　　　镇　　　　　　　　　　　 填报时间： </w:t>
      </w:r>
    </w:p>
    <w:tbl>
      <w:tblPr>
        <w:tblStyle w:val="52"/>
        <w:tblW w:w="6024" w:type="pct"/>
        <w:tblInd w:w="-485"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0" w:type="dxa"/>
          <w:left w:w="0" w:type="dxa"/>
          <w:bottom w:w="0" w:type="dxa"/>
          <w:right w:w="0" w:type="dxa"/>
        </w:tblCellMar>
      </w:tblPr>
      <w:tblGrid>
        <w:gridCol w:w="3021"/>
        <w:gridCol w:w="2935"/>
        <w:gridCol w:w="1133"/>
        <w:gridCol w:w="1006"/>
        <w:gridCol w:w="1100"/>
        <w:gridCol w:w="1010"/>
      </w:tblGrid>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80" w:type="pct"/>
            <w:tcBorders>
              <w:top w:val="single" w:color="666666" w:sz="6" w:space="0"/>
              <w:left w:val="single" w:color="666666" w:sz="6" w:space="0"/>
              <w:bottom w:val="single" w:color="666666"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申报单位名称 </w:t>
            </w:r>
          </w:p>
        </w:tc>
        <w:tc>
          <w:tcPr>
            <w:tcW w:w="3519" w:type="pct"/>
            <w:gridSpan w:val="5"/>
            <w:tcBorders>
              <w:top w:val="single" w:color="666666" w:sz="6" w:space="0"/>
              <w:left w:val="single" w:color="666666" w:sz="6" w:space="0"/>
              <w:bottom w:val="single" w:color="666666"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（盖章）</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5000" w:type="pct"/>
            <w:gridSpan w:val="6"/>
            <w:tcBorders>
              <w:top w:val="single" w:color="666666"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价值与特色简介</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rPr>
          <w:wBefore w:w="0" w:type="auto"/>
        </w:trPr>
        <w:tc>
          <w:tcPr>
            <w:tcW w:w="1480" w:type="pct"/>
            <w:vMerge w:val="restar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各级文物保护单位数量、总面积及完好比率 </w:t>
            </w:r>
          </w:p>
        </w:tc>
        <w:tc>
          <w:tcPr>
            <w:tcW w:w="1993" w:type="pct"/>
            <w:gridSpan w:val="2"/>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总体情况 </w:t>
            </w:r>
          </w:p>
        </w:tc>
        <w:tc>
          <w:tcPr>
            <w:tcW w:w="492"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国家级</w:t>
            </w:r>
          </w:p>
        </w:tc>
        <w:tc>
          <w:tcPr>
            <w:tcW w:w="539"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省级 </w:t>
            </w:r>
          </w:p>
        </w:tc>
        <w:tc>
          <w:tcPr>
            <w:tcW w:w="493"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市</w:t>
            </w:r>
            <w:r>
              <w:rPr>
                <w:rFonts w:hint="eastAsia" w:ascii="仿宋_GB2312" w:hAnsi="仿宋_GB2312" w:eastAsia="仿宋_GB2312" w:cs="仿宋_GB2312"/>
                <w:sz w:val="24"/>
                <w:highlight w:val="none"/>
                <w:u w:val="none"/>
                <w:lang w:eastAsia="zh"/>
              </w:rPr>
              <w:t>县</w:t>
            </w:r>
            <w:r>
              <w:rPr>
                <w:rFonts w:hint="eastAsia" w:ascii="仿宋_GB2312" w:hAnsi="仿宋_GB2312" w:eastAsia="仿宋_GB2312" w:cs="仿宋_GB2312"/>
                <w:sz w:val="24"/>
                <w:highlight w:val="none"/>
                <w:u w:val="none"/>
              </w:rPr>
              <w:t>级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rPr>
          <w:wBefore w:w="0" w:type="auto"/>
        </w:trPr>
        <w:tc>
          <w:tcPr>
            <w:tcW w:w="1480" w:type="pct"/>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438" w:type="pct"/>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数量（处） </w:t>
            </w:r>
          </w:p>
        </w:tc>
        <w:tc>
          <w:tcPr>
            <w:tcW w:w="55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92"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539"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93"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rPr>
          <w:wBefore w:w="0" w:type="auto"/>
        </w:trPr>
        <w:tc>
          <w:tcPr>
            <w:tcW w:w="1480" w:type="pct"/>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438" w:type="pct"/>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总面积（m</w:t>
            </w:r>
            <w:r>
              <w:rPr>
                <w:rFonts w:hint="eastAsia" w:ascii="仿宋_GB2312" w:hAnsi="仿宋_GB2312" w:eastAsia="仿宋_GB2312" w:cs="仿宋_GB2312"/>
                <w:sz w:val="24"/>
                <w:highlight w:val="none"/>
                <w:u w:val="none"/>
                <w:vertAlign w:val="superscript"/>
              </w:rPr>
              <w:t>2</w:t>
            </w:r>
            <w:r>
              <w:rPr>
                <w:rFonts w:hint="eastAsia" w:ascii="仿宋_GB2312" w:hAnsi="仿宋_GB2312" w:eastAsia="仿宋_GB2312" w:cs="仿宋_GB2312"/>
                <w:sz w:val="24"/>
                <w:highlight w:val="none"/>
                <w:u w:val="none"/>
              </w:rPr>
              <w:t>） </w:t>
            </w:r>
          </w:p>
        </w:tc>
        <w:tc>
          <w:tcPr>
            <w:tcW w:w="55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92"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539"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93"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rPr>
          <w:wBefore w:w="0" w:type="auto"/>
        </w:trPr>
        <w:tc>
          <w:tcPr>
            <w:tcW w:w="1480" w:type="pct"/>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438" w:type="pct"/>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完好比率（%） </w:t>
            </w:r>
          </w:p>
        </w:tc>
        <w:tc>
          <w:tcPr>
            <w:tcW w:w="555"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92"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539" w:type="pct"/>
            <w:tcBorders>
              <w:top w:val="single" w:color="666666" w:sz="6" w:space="0"/>
              <w:left w:val="single" w:color="666666" w:sz="6" w:space="0"/>
              <w:bottom w:val="single" w:color="666666"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93" w:type="pct"/>
            <w:tcBorders>
              <w:top w:val="single" w:color="666666" w:sz="6" w:space="0"/>
              <w:left w:val="single" w:color="666666" w:sz="6" w:space="0"/>
              <w:bottom w:val="single" w:color="666666"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80" w:type="pct"/>
            <w:vMerge w:val="restar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已公布登记</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不可移动文物数量 </w:t>
            </w:r>
          </w:p>
        </w:tc>
        <w:tc>
          <w:tcPr>
            <w:tcW w:w="1438" w:type="pct"/>
            <w:vMerge w:val="restar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1048" w:type="pct"/>
            <w:gridSpan w:val="2"/>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不可移动文物</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总建筑面积（m</w:t>
            </w:r>
            <w:r>
              <w:rPr>
                <w:rFonts w:hint="eastAsia" w:ascii="仿宋_GB2312" w:hAnsi="仿宋_GB2312" w:eastAsia="仿宋_GB2312" w:cs="仿宋_GB2312"/>
                <w:sz w:val="24"/>
                <w:highlight w:val="none"/>
                <w:u w:val="none"/>
                <w:vertAlign w:val="superscript"/>
              </w:rPr>
              <w:t>2</w:t>
            </w:r>
            <w:r>
              <w:rPr>
                <w:rFonts w:hint="eastAsia" w:ascii="仿宋_GB2312" w:hAnsi="仿宋_GB2312" w:eastAsia="仿宋_GB2312" w:cs="仿宋_GB2312"/>
                <w:sz w:val="24"/>
                <w:highlight w:val="none"/>
                <w:u w:val="none"/>
              </w:rPr>
              <w:t>） </w:t>
            </w:r>
          </w:p>
        </w:tc>
        <w:tc>
          <w:tcPr>
            <w:tcW w:w="1033" w:type="pct"/>
            <w:gridSpan w:val="2"/>
            <w:tcBorders>
              <w:top w:val="single" w:color="666666"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不可移动文物</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完好比率（%）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80" w:type="pct"/>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438" w:type="pct"/>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048" w:type="pct"/>
            <w:gridSpan w:val="2"/>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1033" w:type="pct"/>
            <w:gridSpan w:val="2"/>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80" w:type="pct"/>
            <w:vMerge w:val="restar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已公布历史建筑数量 </w:t>
            </w:r>
          </w:p>
        </w:tc>
        <w:tc>
          <w:tcPr>
            <w:tcW w:w="1438" w:type="pct"/>
            <w:vMerge w:val="restar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1048" w:type="pct"/>
            <w:gridSpan w:val="2"/>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历史建筑总建筑面积（m</w:t>
            </w:r>
            <w:r>
              <w:rPr>
                <w:rFonts w:hint="eastAsia" w:ascii="仿宋_GB2312" w:hAnsi="仿宋_GB2312" w:eastAsia="仿宋_GB2312" w:cs="仿宋_GB2312"/>
                <w:sz w:val="24"/>
                <w:highlight w:val="none"/>
                <w:u w:val="none"/>
                <w:vertAlign w:val="superscript"/>
              </w:rPr>
              <w:t>2</w:t>
            </w:r>
            <w:r>
              <w:rPr>
                <w:rFonts w:hint="eastAsia" w:ascii="仿宋_GB2312" w:hAnsi="仿宋_GB2312" w:eastAsia="仿宋_GB2312" w:cs="仿宋_GB2312"/>
                <w:sz w:val="24"/>
                <w:highlight w:val="none"/>
                <w:u w:val="none"/>
              </w:rPr>
              <w:t>） </w:t>
            </w:r>
          </w:p>
        </w:tc>
        <w:tc>
          <w:tcPr>
            <w:tcW w:w="1033" w:type="pct"/>
            <w:gridSpan w:val="2"/>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历史建筑完好比率（%）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80" w:type="pct"/>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438" w:type="pct"/>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048" w:type="pct"/>
            <w:gridSpan w:val="2"/>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1033" w:type="pct"/>
            <w:gridSpan w:val="2"/>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rPr>
          <w:wBefore w:w="0" w:type="auto"/>
          <w:trHeight w:val="1020" w:hRule="atLeast"/>
        </w:trPr>
        <w:tc>
          <w:tcPr>
            <w:tcW w:w="1480"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保护范围（hm</w:t>
            </w:r>
            <w:r>
              <w:rPr>
                <w:rFonts w:hint="eastAsia" w:ascii="仿宋_GB2312" w:hAnsi="仿宋_GB2312" w:eastAsia="仿宋_GB2312" w:cs="仿宋_GB2312"/>
                <w:sz w:val="24"/>
                <w:highlight w:val="none"/>
                <w:u w:val="none"/>
                <w:vertAlign w:val="superscript"/>
              </w:rPr>
              <w:t>2</w:t>
            </w:r>
            <w:r>
              <w:rPr>
                <w:rFonts w:hint="eastAsia" w:ascii="仿宋_GB2312" w:hAnsi="仿宋_GB2312" w:eastAsia="仿宋_GB2312" w:cs="仿宋_GB2312"/>
                <w:sz w:val="24"/>
                <w:highlight w:val="none"/>
                <w:u w:val="none"/>
              </w:rPr>
              <w:t>） </w:t>
            </w:r>
          </w:p>
        </w:tc>
        <w:tc>
          <w:tcPr>
            <w:tcW w:w="3519" w:type="pct"/>
            <w:gridSpan w:val="5"/>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rPr>
          <w:wBefore w:w="0" w:type="auto"/>
        </w:trPr>
        <w:tc>
          <w:tcPr>
            <w:tcW w:w="1480" w:type="pct"/>
            <w:vMerge w:val="restar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非物质文化遗产代表性项目</w:t>
            </w:r>
          </w:p>
        </w:tc>
        <w:tc>
          <w:tcPr>
            <w:tcW w:w="1438" w:type="pct"/>
            <w:vMerge w:val="restar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1048" w:type="pct"/>
            <w:gridSpan w:val="2"/>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国家级 </w:t>
            </w:r>
          </w:p>
        </w:tc>
        <w:tc>
          <w:tcPr>
            <w:tcW w:w="539"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省级 </w:t>
            </w:r>
          </w:p>
        </w:tc>
        <w:tc>
          <w:tcPr>
            <w:tcW w:w="493" w:type="pct"/>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lang w:eastAsia="zh"/>
              </w:rPr>
              <w:t>市县</w:t>
            </w:r>
            <w:r>
              <w:rPr>
                <w:rFonts w:hint="eastAsia" w:ascii="仿宋_GB2312" w:hAnsi="仿宋_GB2312" w:eastAsia="仿宋_GB2312" w:cs="仿宋_GB2312"/>
                <w:sz w:val="24"/>
                <w:highlight w:val="none"/>
                <w:u w:val="none"/>
              </w:rPr>
              <w:t>级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rPr>
          <w:wBefore w:w="0" w:type="auto"/>
        </w:trPr>
        <w:tc>
          <w:tcPr>
            <w:tcW w:w="1480" w:type="pct"/>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438" w:type="pct"/>
            <w:vMerge w:val="continue"/>
            <w:tcBorders>
              <w:top w:val="single" w:color="666666" w:sz="6" w:space="0"/>
              <w:left w:val="single" w:color="666666" w:sz="6" w:space="0"/>
              <w:bottom w:val="single" w:color="666666"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048" w:type="pct"/>
            <w:gridSpan w:val="2"/>
            <w:tcBorders>
              <w:top w:val="single" w:color="666666" w:sz="6" w:space="0"/>
              <w:left w:val="nil"/>
              <w:bottom w:val="single" w:color="666666"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539" w:type="pct"/>
            <w:tcBorders>
              <w:top w:val="single" w:color="666666" w:sz="6" w:space="0"/>
              <w:left w:val="single" w:color="666666" w:sz="6" w:space="0"/>
              <w:bottom w:val="single" w:color="666666"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93" w:type="pct"/>
            <w:tcBorders>
              <w:top w:val="single" w:color="666666" w:sz="6" w:space="0"/>
              <w:left w:val="single" w:color="666666" w:sz="6" w:space="0"/>
              <w:bottom w:val="single" w:color="666666"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80"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历史名人和重大历史事件</w:t>
            </w:r>
          </w:p>
        </w:tc>
        <w:tc>
          <w:tcPr>
            <w:tcW w:w="3519" w:type="pct"/>
            <w:gridSpan w:val="5"/>
            <w:tcBorders>
              <w:top w:val="single" w:color="666666"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rPr>
          <w:wBefore w:w="0" w:type="auto"/>
          <w:trHeight w:val="1000" w:hRule="atLeast"/>
        </w:trPr>
        <w:tc>
          <w:tcPr>
            <w:tcW w:w="1480"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lang w:eastAsia="zh-CN"/>
              </w:rPr>
              <w:t>区</w:t>
            </w:r>
            <w:r>
              <w:rPr>
                <w:rFonts w:hint="eastAsia" w:ascii="仿宋_GB2312" w:hAnsi="仿宋_GB2312" w:eastAsia="仿宋_GB2312" w:cs="仿宋_GB2312"/>
                <w:sz w:val="24"/>
                <w:highlight w:val="none"/>
                <w:u w:val="none"/>
              </w:rPr>
              <w:t>建设（规划）行政管理部门推荐意见</w:t>
            </w:r>
          </w:p>
        </w:tc>
        <w:tc>
          <w:tcPr>
            <w:tcW w:w="3519" w:type="pct"/>
            <w:gridSpan w:val="5"/>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（盖章）</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rPr>
          <w:wBefore w:w="0" w:type="auto"/>
          <w:trHeight w:val="920" w:hRule="atLeast"/>
        </w:trPr>
        <w:tc>
          <w:tcPr>
            <w:tcW w:w="1480"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lang w:eastAsia="zh-CN"/>
              </w:rPr>
              <w:t>区</w:t>
            </w:r>
            <w:r>
              <w:rPr>
                <w:rFonts w:hint="eastAsia" w:ascii="仿宋_GB2312" w:hAnsi="仿宋_GB2312" w:eastAsia="仿宋_GB2312" w:cs="仿宋_GB2312"/>
                <w:sz w:val="24"/>
                <w:highlight w:val="none"/>
                <w:u w:val="none"/>
              </w:rPr>
              <w:t>文化（文物）行政管理部门推荐意见</w:t>
            </w:r>
          </w:p>
        </w:tc>
        <w:tc>
          <w:tcPr>
            <w:tcW w:w="3519" w:type="pct"/>
            <w:gridSpan w:val="5"/>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（盖章）</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80" w:type="pct"/>
            <w:tcBorders>
              <w:top w:val="single" w:color="666666" w:sz="6" w:space="0"/>
              <w:left w:val="single" w:color="666666" w:sz="6" w:space="0"/>
              <w:bottom w:val="single" w:color="666666"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备　　注 </w:t>
            </w:r>
          </w:p>
        </w:tc>
        <w:tc>
          <w:tcPr>
            <w:tcW w:w="3519" w:type="pct"/>
            <w:gridSpan w:val="5"/>
            <w:tcBorders>
              <w:top w:val="inset" w:color="808080" w:sz="6" w:space="0"/>
              <w:left w:val="single" w:color="666666" w:sz="6" w:space="0"/>
              <w:bottom w:val="single" w:color="666666"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bl>
    <w:p>
      <w:pPr>
        <w:tabs>
          <w:tab w:val="center" w:pos="4349"/>
          <w:tab w:val="left" w:pos="5960"/>
        </w:tabs>
        <w:adjustRightInd w:val="0"/>
        <w:snapToGrid w:val="0"/>
        <w:spacing w:after="156" w:afterLines="50" w:line="560" w:lineRule="exact"/>
        <w:rPr>
          <w:rFonts w:hint="eastAsia" w:ascii="黑体" w:hAnsi="黑体" w:eastAsia="黑体" w:cs="黑体"/>
          <w:bCs/>
          <w:sz w:val="28"/>
          <w:szCs w:val="28"/>
          <w:highlight w:val="none"/>
          <w:u w:val="none"/>
        </w:rPr>
      </w:pPr>
      <w:r>
        <w:rPr>
          <w:rFonts w:hint="eastAsia" w:ascii="黑体" w:hAnsi="黑体" w:eastAsia="黑体" w:cs="黑体"/>
          <w:bCs/>
          <w:sz w:val="28"/>
          <w:szCs w:val="28"/>
          <w:highlight w:val="none"/>
          <w:u w:val="none"/>
        </w:rPr>
        <w:t>附件3 上海市历史文化名镇基础数据表</w:t>
      </w:r>
    </w:p>
    <w:p>
      <w:pPr>
        <w:tabs>
          <w:tab w:val="center" w:pos="4349"/>
          <w:tab w:val="left" w:pos="5960"/>
        </w:tabs>
        <w:adjustRightInd w:val="0"/>
        <w:snapToGrid w:val="0"/>
        <w:spacing w:after="0" w:line="560" w:lineRule="exac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xml:space="preserve">名称：        区　　　　镇　　                   填表人及电话：　　                          </w:t>
      </w:r>
    </w:p>
    <w:p>
      <w:pPr>
        <w:tabs>
          <w:tab w:val="center" w:pos="4349"/>
          <w:tab w:val="left" w:pos="5960"/>
        </w:tabs>
        <w:adjustRightInd w:val="0"/>
        <w:snapToGrid w:val="0"/>
        <w:spacing w:after="0" w:line="560" w:lineRule="exact"/>
        <w:rPr>
          <w:rFonts w:hint="eastAsia" w:ascii="仿宋_GB2312" w:hAnsi="仿宋_GB2312" w:eastAsia="仿宋_GB2312" w:cs="仿宋_GB2312"/>
          <w:bCs/>
          <w:sz w:val="28"/>
          <w:szCs w:val="28"/>
          <w:highlight w:val="none"/>
          <w:u w:val="none"/>
        </w:rPr>
      </w:pPr>
      <w:r>
        <w:rPr>
          <w:rFonts w:hint="eastAsia" w:ascii="仿宋_GB2312" w:hAnsi="仿宋_GB2312" w:eastAsia="仿宋_GB2312" w:cs="仿宋_GB2312"/>
          <w:sz w:val="24"/>
          <w:highlight w:val="none"/>
          <w:u w:val="none"/>
        </w:rPr>
        <w:t>填表时间（盖章）：</w:t>
      </w:r>
      <w:r>
        <w:rPr>
          <w:rFonts w:hint="eastAsia" w:ascii="仿宋_GB2312" w:hAnsi="仿宋_GB2312" w:eastAsia="仿宋_GB2312" w:cs="仿宋_GB2312"/>
          <w:bCs/>
          <w:sz w:val="28"/>
          <w:szCs w:val="28"/>
          <w:highlight w:val="none"/>
          <w:u w:val="none"/>
        </w:rPr>
        <w:t xml:space="preserve">　         </w:t>
      </w:r>
    </w:p>
    <w:tbl>
      <w:tblPr>
        <w:tblStyle w:val="52"/>
        <w:tblW w:w="6024" w:type="pct"/>
        <w:tblInd w:w="-485"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0" w:type="dxa"/>
          <w:left w:w="0" w:type="dxa"/>
          <w:bottom w:w="0" w:type="dxa"/>
          <w:right w:w="0" w:type="dxa"/>
        </w:tblCellMar>
      </w:tblPr>
      <w:tblGrid>
        <w:gridCol w:w="898"/>
        <w:gridCol w:w="594"/>
        <w:gridCol w:w="343"/>
        <w:gridCol w:w="1163"/>
        <w:gridCol w:w="718"/>
        <w:gridCol w:w="80"/>
        <w:gridCol w:w="229"/>
        <w:gridCol w:w="167"/>
        <w:gridCol w:w="241"/>
        <w:gridCol w:w="159"/>
        <w:gridCol w:w="82"/>
        <w:gridCol w:w="102"/>
        <w:gridCol w:w="14"/>
        <w:gridCol w:w="8"/>
        <w:gridCol w:w="141"/>
        <w:gridCol w:w="98"/>
        <w:gridCol w:w="51"/>
        <w:gridCol w:w="59"/>
        <w:gridCol w:w="239"/>
        <w:gridCol w:w="2"/>
        <w:gridCol w:w="65"/>
        <w:gridCol w:w="51"/>
        <w:gridCol w:w="357"/>
        <w:gridCol w:w="18"/>
        <w:gridCol w:w="180"/>
        <w:gridCol w:w="125"/>
        <w:gridCol w:w="53"/>
        <w:gridCol w:w="322"/>
        <w:gridCol w:w="16"/>
        <w:gridCol w:w="2"/>
        <w:gridCol w:w="20"/>
        <w:gridCol w:w="218"/>
        <w:gridCol w:w="165"/>
        <w:gridCol w:w="37"/>
        <w:gridCol w:w="53"/>
        <w:gridCol w:w="222"/>
        <w:gridCol w:w="474"/>
        <w:gridCol w:w="2"/>
        <w:gridCol w:w="8"/>
        <w:gridCol w:w="27"/>
        <w:gridCol w:w="204"/>
        <w:gridCol w:w="22"/>
        <w:gridCol w:w="55"/>
        <w:gridCol w:w="2"/>
        <w:gridCol w:w="200"/>
        <w:gridCol w:w="71"/>
        <w:gridCol w:w="39"/>
        <w:gridCol w:w="186"/>
        <w:gridCol w:w="139"/>
        <w:gridCol w:w="239"/>
        <w:gridCol w:w="141"/>
        <w:gridCol w:w="4"/>
        <w:gridCol w:w="265"/>
        <w:gridCol w:w="11"/>
        <w:gridCol w:w="62"/>
        <w:gridCol w:w="762"/>
        <w:tblGridChange w:id="1">
          <w:tblGrid>
            <w:gridCol w:w="898"/>
            <w:gridCol w:w="64"/>
            <w:gridCol w:w="530"/>
            <w:gridCol w:w="343"/>
            <w:gridCol w:w="1163"/>
            <w:gridCol w:w="719"/>
            <w:gridCol w:w="80"/>
            <w:gridCol w:w="229"/>
            <w:gridCol w:w="167"/>
            <w:gridCol w:w="241"/>
            <w:gridCol w:w="159"/>
            <w:gridCol w:w="82"/>
            <w:gridCol w:w="102"/>
            <w:gridCol w:w="14"/>
            <w:gridCol w:w="8"/>
            <w:gridCol w:w="141"/>
            <w:gridCol w:w="98"/>
            <w:gridCol w:w="51"/>
            <w:gridCol w:w="59"/>
            <w:gridCol w:w="239"/>
            <w:gridCol w:w="2"/>
            <w:gridCol w:w="65"/>
            <w:gridCol w:w="51"/>
            <w:gridCol w:w="357"/>
            <w:gridCol w:w="18"/>
            <w:gridCol w:w="180"/>
            <w:gridCol w:w="124"/>
            <w:gridCol w:w="53"/>
            <w:gridCol w:w="322"/>
            <w:gridCol w:w="16"/>
            <w:gridCol w:w="2"/>
            <w:gridCol w:w="20"/>
            <w:gridCol w:w="218"/>
            <w:gridCol w:w="165"/>
            <w:gridCol w:w="37"/>
            <w:gridCol w:w="53"/>
            <w:gridCol w:w="222"/>
            <w:gridCol w:w="474"/>
            <w:gridCol w:w="2"/>
            <w:gridCol w:w="8"/>
            <w:gridCol w:w="27"/>
            <w:gridCol w:w="204"/>
            <w:gridCol w:w="22"/>
            <w:gridCol w:w="55"/>
            <w:gridCol w:w="2"/>
            <w:gridCol w:w="200"/>
            <w:gridCol w:w="71"/>
            <w:gridCol w:w="39"/>
            <w:gridCol w:w="186"/>
            <w:gridCol w:w="139"/>
            <w:gridCol w:w="239"/>
            <w:gridCol w:w="141"/>
            <w:gridCol w:w="4"/>
            <w:gridCol w:w="265"/>
            <w:gridCol w:w="11"/>
            <w:gridCol w:w="62"/>
            <w:gridCol w:w="762"/>
          </w:tblGrid>
        </w:tblGridChange>
      </w:tblGrid>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restar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1.镇建成区文物保护单位等级数量 </w:t>
            </w:r>
          </w:p>
        </w:tc>
        <w:tc>
          <w:tcPr>
            <w:tcW w:w="352" w:type="pct"/>
            <w:vMerge w:val="restar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最高</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xml:space="preserve">等级 </w:t>
            </w:r>
          </w:p>
        </w:tc>
        <w:tc>
          <w:tcPr>
            <w:tcW w:w="351" w:type="pct"/>
            <w:gridSpan w:val="4"/>
            <w:vMerge w:val="restar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等级</w:t>
            </w:r>
          </w:p>
        </w:tc>
        <w:tc>
          <w:tcPr>
            <w:tcW w:w="350"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数量</w:t>
            </w:r>
          </w:p>
        </w:tc>
        <w:tc>
          <w:tcPr>
            <w:tcW w:w="350" w:type="pct"/>
            <w:gridSpan w:val="7"/>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名称</w:t>
            </w:r>
          </w:p>
        </w:tc>
        <w:tc>
          <w:tcPr>
            <w:tcW w:w="351"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公布时间</w:t>
            </w:r>
          </w:p>
        </w:tc>
        <w:tc>
          <w:tcPr>
            <w:tcW w:w="350"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建筑面积</w:t>
            </w:r>
          </w:p>
        </w:tc>
        <w:tc>
          <w:tcPr>
            <w:tcW w:w="350"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名称</w:t>
            </w:r>
          </w:p>
        </w:tc>
        <w:tc>
          <w:tcPr>
            <w:tcW w:w="353"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公布时间</w:t>
            </w:r>
          </w:p>
        </w:tc>
        <w:tc>
          <w:tcPr>
            <w:tcW w:w="368" w:type="pct"/>
            <w:tcBorders>
              <w:top w:val="single" w:color="666666"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建筑</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面积</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352" w:type="pct"/>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351" w:type="pct"/>
            <w:gridSpan w:val="4"/>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350" w:type="pct"/>
            <w:gridSpan w:val="9"/>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国家级</w:t>
            </w:r>
          </w:p>
        </w:tc>
        <w:tc>
          <w:tcPr>
            <w:tcW w:w="350"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7"/>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1"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3"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68" w:type="pct"/>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352" w:type="pct"/>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351" w:type="pct"/>
            <w:gridSpan w:val="4"/>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350" w:type="pct"/>
            <w:gridSpan w:val="9"/>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省级</w:t>
            </w:r>
          </w:p>
        </w:tc>
        <w:tc>
          <w:tcPr>
            <w:tcW w:w="350"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7"/>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1"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3"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68" w:type="pct"/>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352" w:type="pct"/>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351" w:type="pct"/>
            <w:gridSpan w:val="4"/>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350" w:type="pct"/>
            <w:gridSpan w:val="9"/>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市县级</w:t>
            </w:r>
          </w:p>
        </w:tc>
        <w:tc>
          <w:tcPr>
            <w:tcW w:w="350"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7"/>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1"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3"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68" w:type="pct"/>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restar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2.镇建成区</w:t>
            </w:r>
            <w:r>
              <w:rPr>
                <w:rFonts w:hint="eastAsia" w:ascii="仿宋_GB2312" w:hAnsi="仿宋_GB2312" w:eastAsia="仿宋_GB2312" w:cs="仿宋_GB2312"/>
                <w:sz w:val="24"/>
                <w:highlight w:val="none"/>
                <w:u w:val="none"/>
                <w:lang w:eastAsia="zh-CN"/>
              </w:rPr>
              <w:t>未定级不可移动文物</w:t>
            </w:r>
            <w:r>
              <w:rPr>
                <w:rFonts w:hint="eastAsia" w:ascii="仿宋_GB2312" w:hAnsi="仿宋_GB2312" w:eastAsia="仿宋_GB2312" w:cs="仿宋_GB2312"/>
                <w:sz w:val="24"/>
                <w:highlight w:val="none"/>
                <w:u w:val="none"/>
              </w:rPr>
              <w:t>数量及建筑面积</w:t>
            </w:r>
            <w:r>
              <w:rPr>
                <w:rFonts w:hint="eastAsia" w:ascii="仿宋_GB2312" w:hAnsi="仿宋_GB2312" w:eastAsia="仿宋_GB2312" w:cs="仿宋_GB2312"/>
                <w:sz w:val="24"/>
                <w:highlight w:val="none"/>
                <w:u w:val="none"/>
                <w:lang w:eastAsia="zh"/>
              </w:rPr>
              <w:t>（</w:t>
            </w:r>
            <w:r>
              <w:rPr>
                <w:rFonts w:hint="eastAsia" w:ascii="仿宋_GB2312" w:hAnsi="仿宋_GB2312" w:eastAsia="仿宋_GB2312" w:cs="仿宋_GB2312"/>
                <w:sz w:val="24"/>
                <w:highlight w:val="none"/>
                <w:u w:val="none"/>
              </w:rPr>
              <w:t>m</w:t>
            </w:r>
            <w:r>
              <w:rPr>
                <w:rFonts w:hint="eastAsia" w:ascii="仿宋_GB2312" w:hAnsi="仿宋_GB2312" w:eastAsia="仿宋_GB2312" w:cs="仿宋_GB2312"/>
                <w:sz w:val="24"/>
                <w:highlight w:val="none"/>
                <w:u w:val="none"/>
                <w:vertAlign w:val="superscript"/>
              </w:rPr>
              <w:t>2</w:t>
            </w:r>
            <w:r>
              <w:rPr>
                <w:rFonts w:hint="eastAsia" w:ascii="仿宋_GB2312" w:hAnsi="仿宋_GB2312" w:eastAsia="仿宋_GB2312" w:cs="仿宋_GB2312"/>
                <w:sz w:val="24"/>
                <w:highlight w:val="none"/>
                <w:u w:val="none"/>
              </w:rPr>
              <w:t>） </w:t>
            </w:r>
          </w:p>
        </w:tc>
        <w:tc>
          <w:tcPr>
            <w:tcW w:w="352"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数量</w:t>
            </w:r>
          </w:p>
        </w:tc>
        <w:tc>
          <w:tcPr>
            <w:tcW w:w="351" w:type="pct"/>
            <w:gridSpan w:val="4"/>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序号</w:t>
            </w:r>
          </w:p>
        </w:tc>
        <w:tc>
          <w:tcPr>
            <w:tcW w:w="350"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名称</w:t>
            </w:r>
          </w:p>
        </w:tc>
        <w:tc>
          <w:tcPr>
            <w:tcW w:w="350"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建筑面积</w:t>
            </w:r>
          </w:p>
        </w:tc>
        <w:tc>
          <w:tcPr>
            <w:tcW w:w="350" w:type="pct"/>
            <w:gridSpan w:val="7"/>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序号</w:t>
            </w:r>
          </w:p>
        </w:tc>
        <w:tc>
          <w:tcPr>
            <w:tcW w:w="351"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名称</w:t>
            </w:r>
          </w:p>
        </w:tc>
        <w:tc>
          <w:tcPr>
            <w:tcW w:w="350"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建筑面积</w:t>
            </w:r>
          </w:p>
        </w:tc>
        <w:tc>
          <w:tcPr>
            <w:tcW w:w="350"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lang w:eastAsia="zh"/>
              </w:rPr>
            </w:pPr>
            <w:r>
              <w:rPr>
                <w:rFonts w:hint="eastAsia" w:ascii="仿宋_GB2312" w:hAnsi="仿宋_GB2312" w:eastAsia="仿宋_GB2312" w:cs="仿宋_GB2312"/>
                <w:sz w:val="24"/>
                <w:highlight w:val="none"/>
                <w:u w:val="none"/>
                <w:lang w:eastAsia="zh"/>
              </w:rPr>
              <w:t>序号</w:t>
            </w:r>
          </w:p>
        </w:tc>
        <w:tc>
          <w:tcPr>
            <w:tcW w:w="353"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pacing w:val="-6"/>
                <w:sz w:val="24"/>
                <w:highlight w:val="none"/>
                <w:u w:val="none"/>
                <w:lang w:eastAsia="zh"/>
              </w:rPr>
              <w:t>名称</w:t>
            </w:r>
            <w:r>
              <w:rPr>
                <w:rFonts w:hint="eastAsia" w:ascii="仿宋_GB2312" w:hAnsi="仿宋_GB2312" w:eastAsia="仿宋_GB2312" w:cs="仿宋_GB2312"/>
                <w:spacing w:val="-6"/>
                <w:sz w:val="24"/>
                <w:highlight w:val="none"/>
                <w:u w:val="none"/>
              </w:rPr>
              <w:t> </w:t>
            </w:r>
          </w:p>
        </w:tc>
        <w:tc>
          <w:tcPr>
            <w:tcW w:w="368" w:type="pct"/>
            <w:tcBorders>
              <w:top w:val="single" w:color="666666"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建筑</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面积</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352" w:type="pct"/>
            <w:vMerge w:val="restart"/>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1" w:type="pct"/>
            <w:gridSpan w:val="4"/>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1 </w:t>
            </w:r>
          </w:p>
        </w:tc>
        <w:tc>
          <w:tcPr>
            <w:tcW w:w="350"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7"/>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2 </w:t>
            </w:r>
          </w:p>
        </w:tc>
        <w:tc>
          <w:tcPr>
            <w:tcW w:w="351"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3 </w:t>
            </w:r>
          </w:p>
        </w:tc>
        <w:tc>
          <w:tcPr>
            <w:tcW w:w="353"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68" w:type="pct"/>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352" w:type="pct"/>
            <w:vMerge w:val="continue"/>
            <w:tcBorders>
              <w:top w:val="single" w:color="666666" w:sz="6" w:space="0"/>
              <w:left w:val="nil"/>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351" w:type="pct"/>
            <w:gridSpan w:val="4"/>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4 </w:t>
            </w:r>
          </w:p>
        </w:tc>
        <w:tc>
          <w:tcPr>
            <w:tcW w:w="350"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7"/>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5 </w:t>
            </w:r>
          </w:p>
        </w:tc>
        <w:tc>
          <w:tcPr>
            <w:tcW w:w="351"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6 </w:t>
            </w:r>
          </w:p>
        </w:tc>
        <w:tc>
          <w:tcPr>
            <w:tcW w:w="353"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68" w:type="pct"/>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restart"/>
            <w:tcBorders>
              <w:top w:val="nil"/>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3.镇建成区历史建筑数量及建筑面积（m</w:t>
            </w:r>
            <w:r>
              <w:rPr>
                <w:rFonts w:hint="eastAsia" w:ascii="仿宋_GB2312" w:hAnsi="仿宋_GB2312" w:eastAsia="仿宋_GB2312" w:cs="仿宋_GB2312"/>
                <w:sz w:val="24"/>
                <w:highlight w:val="none"/>
                <w:u w:val="none"/>
                <w:vertAlign w:val="superscript"/>
              </w:rPr>
              <w:t>2</w:t>
            </w:r>
            <w:r>
              <w:rPr>
                <w:rFonts w:hint="eastAsia" w:ascii="仿宋_GB2312" w:hAnsi="仿宋_GB2312" w:eastAsia="仿宋_GB2312" w:cs="仿宋_GB2312"/>
                <w:sz w:val="24"/>
                <w:highlight w:val="none"/>
                <w:u w:val="none"/>
              </w:rPr>
              <w:t>） </w:t>
            </w:r>
          </w:p>
        </w:tc>
        <w:tc>
          <w:tcPr>
            <w:tcW w:w="352"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数量</w:t>
            </w:r>
          </w:p>
        </w:tc>
        <w:tc>
          <w:tcPr>
            <w:tcW w:w="351" w:type="pct"/>
            <w:gridSpan w:val="4"/>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序号</w:t>
            </w:r>
          </w:p>
        </w:tc>
        <w:tc>
          <w:tcPr>
            <w:tcW w:w="350"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名称</w:t>
            </w:r>
          </w:p>
        </w:tc>
        <w:tc>
          <w:tcPr>
            <w:tcW w:w="350"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建筑面积</w:t>
            </w:r>
          </w:p>
        </w:tc>
        <w:tc>
          <w:tcPr>
            <w:tcW w:w="350" w:type="pct"/>
            <w:gridSpan w:val="7"/>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序号</w:t>
            </w:r>
          </w:p>
        </w:tc>
        <w:tc>
          <w:tcPr>
            <w:tcW w:w="351"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名称</w:t>
            </w:r>
          </w:p>
        </w:tc>
        <w:tc>
          <w:tcPr>
            <w:tcW w:w="350"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建筑面积</w:t>
            </w:r>
          </w:p>
        </w:tc>
        <w:tc>
          <w:tcPr>
            <w:tcW w:w="350"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序号</w:t>
            </w:r>
          </w:p>
        </w:tc>
        <w:tc>
          <w:tcPr>
            <w:tcW w:w="353"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名称</w:t>
            </w:r>
          </w:p>
        </w:tc>
        <w:tc>
          <w:tcPr>
            <w:tcW w:w="368" w:type="pct"/>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建筑</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面积</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top w:val="nil"/>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352" w:type="pct"/>
            <w:vMerge w:val="restart"/>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1" w:type="pct"/>
            <w:gridSpan w:val="4"/>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1 </w:t>
            </w:r>
          </w:p>
        </w:tc>
        <w:tc>
          <w:tcPr>
            <w:tcW w:w="350"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7"/>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2 </w:t>
            </w:r>
          </w:p>
        </w:tc>
        <w:tc>
          <w:tcPr>
            <w:tcW w:w="351"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3 </w:t>
            </w:r>
          </w:p>
        </w:tc>
        <w:tc>
          <w:tcPr>
            <w:tcW w:w="353"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68" w:type="pct"/>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top w:val="nil"/>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352" w:type="pct"/>
            <w:vMerge w:val="continue"/>
            <w:tcBorders>
              <w:top w:val="single" w:color="666666" w:sz="6" w:space="0"/>
              <w:left w:val="nil"/>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351" w:type="pct"/>
            <w:gridSpan w:val="4"/>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4 </w:t>
            </w:r>
          </w:p>
        </w:tc>
        <w:tc>
          <w:tcPr>
            <w:tcW w:w="350"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7"/>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5 </w:t>
            </w:r>
          </w:p>
        </w:tc>
        <w:tc>
          <w:tcPr>
            <w:tcW w:w="351"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50"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6 </w:t>
            </w:r>
          </w:p>
        </w:tc>
        <w:tc>
          <w:tcPr>
            <w:tcW w:w="353"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68" w:type="pct"/>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4.镇建成区文物保护单位、</w:t>
            </w:r>
            <w:r>
              <w:rPr>
                <w:rFonts w:hint="eastAsia" w:ascii="仿宋_GB2312" w:hAnsi="仿宋_GB2312" w:eastAsia="仿宋_GB2312" w:cs="仿宋_GB2312"/>
                <w:sz w:val="24"/>
                <w:highlight w:val="none"/>
                <w:u w:val="none"/>
                <w:lang w:eastAsia="zh-CN"/>
              </w:rPr>
              <w:t>未定级不可移动文物</w:t>
            </w:r>
            <w:r>
              <w:rPr>
                <w:rFonts w:hint="eastAsia" w:ascii="仿宋_GB2312" w:hAnsi="仿宋_GB2312" w:eastAsia="仿宋_GB2312" w:cs="仿宋_GB2312"/>
                <w:sz w:val="24"/>
                <w:highlight w:val="none"/>
                <w:u w:val="none"/>
              </w:rPr>
              <w:t>、历史建筑建筑面积（m</w:t>
            </w:r>
            <w:r>
              <w:rPr>
                <w:rFonts w:hint="eastAsia" w:ascii="仿宋_GB2312" w:hAnsi="仿宋_GB2312" w:eastAsia="仿宋_GB2312" w:cs="仿宋_GB2312"/>
                <w:sz w:val="24"/>
                <w:highlight w:val="none"/>
                <w:u w:val="none"/>
                <w:vertAlign w:val="superscript"/>
              </w:rPr>
              <w:t>2</w:t>
            </w:r>
            <w:r>
              <w:rPr>
                <w:rFonts w:hint="eastAsia" w:ascii="仿宋_GB2312" w:hAnsi="仿宋_GB2312" w:eastAsia="仿宋_GB2312" w:cs="仿宋_GB2312"/>
                <w:sz w:val="24"/>
                <w:highlight w:val="none"/>
                <w:u w:val="none"/>
              </w:rPr>
              <w:t>） </w:t>
            </w:r>
          </w:p>
        </w:tc>
        <w:tc>
          <w:tcPr>
            <w:tcW w:w="1024" w:type="pct"/>
            <w:gridSpan w:val="13"/>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1603" w:type="pct"/>
            <w:gridSpan w:val="2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其中：保护范围的文物保护单位、</w:t>
            </w:r>
            <w:r>
              <w:rPr>
                <w:rFonts w:hint="eastAsia" w:ascii="仿宋_GB2312" w:hAnsi="仿宋_GB2312" w:eastAsia="仿宋_GB2312" w:cs="仿宋_GB2312"/>
                <w:sz w:val="24"/>
                <w:highlight w:val="none"/>
                <w:u w:val="none"/>
                <w:lang w:eastAsia="zh-CN"/>
              </w:rPr>
              <w:t>未定级不可移动文物</w:t>
            </w:r>
            <w:r>
              <w:rPr>
                <w:rFonts w:hint="eastAsia" w:ascii="仿宋_GB2312" w:hAnsi="仿宋_GB2312" w:eastAsia="仿宋_GB2312" w:cs="仿宋_GB2312"/>
                <w:sz w:val="24"/>
                <w:highlight w:val="none"/>
                <w:u w:val="none"/>
              </w:rPr>
              <w:t>、历史建筑建筑面积（m</w:t>
            </w:r>
            <w:r>
              <w:rPr>
                <w:rFonts w:hint="eastAsia" w:ascii="仿宋_GB2312" w:hAnsi="仿宋_GB2312" w:eastAsia="仿宋_GB2312" w:cs="仿宋_GB2312"/>
                <w:sz w:val="24"/>
                <w:highlight w:val="none"/>
                <w:u w:val="none"/>
                <w:vertAlign w:val="superscript"/>
              </w:rPr>
              <w:t>2</w:t>
            </w:r>
            <w:r>
              <w:rPr>
                <w:rFonts w:hint="eastAsia" w:ascii="仿宋_GB2312" w:hAnsi="仿宋_GB2312" w:eastAsia="仿宋_GB2312" w:cs="仿宋_GB2312"/>
                <w:sz w:val="24"/>
                <w:highlight w:val="none"/>
                <w:u w:val="none"/>
              </w:rPr>
              <w:t>） </w:t>
            </w:r>
          </w:p>
        </w:tc>
        <w:tc>
          <w:tcPr>
            <w:tcW w:w="902" w:type="pct"/>
            <w:gridSpan w:val="10"/>
            <w:tcBorders>
              <w:top w:val="single" w:color="666666"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restar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5.体现传统特色和典型特征的环境要素数量　</w:t>
            </w:r>
          </w:p>
        </w:tc>
        <w:tc>
          <w:tcPr>
            <w:tcW w:w="391" w:type="pct"/>
            <w:gridSpan w:val="2"/>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数量</w:t>
            </w:r>
          </w:p>
        </w:tc>
        <w:tc>
          <w:tcPr>
            <w:tcW w:w="390" w:type="pct"/>
            <w:gridSpan w:val="4"/>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序号</w:t>
            </w:r>
          </w:p>
        </w:tc>
        <w:tc>
          <w:tcPr>
            <w:tcW w:w="390" w:type="pct"/>
            <w:gridSpan w:val="10"/>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名称</w:t>
            </w:r>
            <w:r>
              <w:rPr>
                <w:rFonts w:hint="eastAsia" w:ascii="仿宋_GB2312" w:hAnsi="仿宋_GB2312" w:eastAsia="仿宋_GB2312" w:cs="仿宋_GB2312"/>
                <w:spacing w:val="0"/>
                <w:sz w:val="24"/>
                <w:highlight w:val="none"/>
                <w:u w:val="none"/>
              </w:rPr>
              <w:t>（年代）</w:t>
            </w:r>
          </w:p>
        </w:tc>
        <w:tc>
          <w:tcPr>
            <w:tcW w:w="390"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序号</w:t>
            </w:r>
          </w:p>
        </w:tc>
        <w:tc>
          <w:tcPr>
            <w:tcW w:w="390" w:type="pct"/>
            <w:gridSpan w:val="7"/>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名称（年代）</w:t>
            </w:r>
          </w:p>
        </w:tc>
        <w:tc>
          <w:tcPr>
            <w:tcW w:w="390"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序号</w:t>
            </w:r>
          </w:p>
        </w:tc>
        <w:tc>
          <w:tcPr>
            <w:tcW w:w="394"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名称（年代） </w:t>
            </w:r>
          </w:p>
        </w:tc>
        <w:tc>
          <w:tcPr>
            <w:tcW w:w="391"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序号</w:t>
            </w:r>
          </w:p>
        </w:tc>
        <w:tc>
          <w:tcPr>
            <w:tcW w:w="398" w:type="pct"/>
            <w:gridSpan w:val="2"/>
            <w:tcBorders>
              <w:top w:val="single" w:color="666666"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名称（年代）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391" w:type="pct"/>
            <w:gridSpan w:val="2"/>
            <w:vMerge w:val="restart"/>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90" w:type="pct"/>
            <w:gridSpan w:val="4"/>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1 </w:t>
            </w:r>
          </w:p>
        </w:tc>
        <w:tc>
          <w:tcPr>
            <w:tcW w:w="390" w:type="pct"/>
            <w:gridSpan w:val="10"/>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90"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2 </w:t>
            </w:r>
          </w:p>
        </w:tc>
        <w:tc>
          <w:tcPr>
            <w:tcW w:w="390" w:type="pct"/>
            <w:gridSpan w:val="7"/>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90"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3 </w:t>
            </w:r>
          </w:p>
        </w:tc>
        <w:tc>
          <w:tcPr>
            <w:tcW w:w="394"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91"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4 </w:t>
            </w:r>
          </w:p>
        </w:tc>
        <w:tc>
          <w:tcPr>
            <w:tcW w:w="398" w:type="pct"/>
            <w:gridSpan w:val="2"/>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391" w:type="pct"/>
            <w:gridSpan w:val="2"/>
            <w:vMerge w:val="continue"/>
            <w:tcBorders>
              <w:top w:val="single" w:color="666666" w:sz="6" w:space="0"/>
              <w:left w:val="nil"/>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390" w:type="pct"/>
            <w:gridSpan w:val="4"/>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5 </w:t>
            </w:r>
          </w:p>
        </w:tc>
        <w:tc>
          <w:tcPr>
            <w:tcW w:w="390" w:type="pct"/>
            <w:gridSpan w:val="10"/>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90"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6 </w:t>
            </w:r>
          </w:p>
        </w:tc>
        <w:tc>
          <w:tcPr>
            <w:tcW w:w="390" w:type="pct"/>
            <w:gridSpan w:val="7"/>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90"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7 </w:t>
            </w:r>
          </w:p>
        </w:tc>
        <w:tc>
          <w:tcPr>
            <w:tcW w:w="394"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91"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8 </w:t>
            </w:r>
          </w:p>
        </w:tc>
        <w:tc>
          <w:tcPr>
            <w:tcW w:w="398" w:type="pct"/>
            <w:gridSpan w:val="2"/>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391" w:type="pct"/>
            <w:gridSpan w:val="2"/>
            <w:vMerge w:val="continue"/>
            <w:tcBorders>
              <w:top w:val="single" w:color="666666" w:sz="6" w:space="0"/>
              <w:left w:val="nil"/>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390" w:type="pct"/>
            <w:gridSpan w:val="4"/>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9 </w:t>
            </w:r>
          </w:p>
        </w:tc>
        <w:tc>
          <w:tcPr>
            <w:tcW w:w="390" w:type="pct"/>
            <w:gridSpan w:val="10"/>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90"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10 </w:t>
            </w:r>
          </w:p>
        </w:tc>
        <w:tc>
          <w:tcPr>
            <w:tcW w:w="390" w:type="pct"/>
            <w:gridSpan w:val="7"/>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90"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11 </w:t>
            </w:r>
          </w:p>
        </w:tc>
        <w:tc>
          <w:tcPr>
            <w:tcW w:w="394"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91"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12 </w:t>
            </w:r>
          </w:p>
        </w:tc>
        <w:tc>
          <w:tcPr>
            <w:tcW w:w="398" w:type="pct"/>
            <w:gridSpan w:val="2"/>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6.拥有形态完整、传统风貌连续的历史街巷（河道）数量、总长度（m） </w:t>
            </w:r>
          </w:p>
        </w:tc>
        <w:tc>
          <w:tcPr>
            <w:tcW w:w="1952" w:type="pct"/>
            <w:gridSpan w:val="2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总条数（处）： </w:t>
            </w:r>
          </w:p>
        </w:tc>
        <w:tc>
          <w:tcPr>
            <w:tcW w:w="1577" w:type="pct"/>
            <w:gridSpan w:val="23"/>
            <w:tcBorders>
              <w:top w:val="single" w:color="666666"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总长度（m）：</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440" w:type="pct"/>
            <w:tcBorders>
              <w:top w:val="single" w:color="666666" w:sz="6" w:space="0"/>
              <w:left w:val="single" w:color="auto" w:sz="4" w:space="0"/>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序号 </w:t>
            </w:r>
          </w:p>
        </w:tc>
        <w:tc>
          <w:tcPr>
            <w:tcW w:w="459" w:type="pct"/>
            <w:gridSpan w:val="2"/>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 称</w:t>
            </w:r>
          </w:p>
        </w:tc>
        <w:tc>
          <w:tcPr>
            <w:tcW w:w="569"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长度 </w:t>
            </w:r>
          </w:p>
        </w:tc>
        <w:tc>
          <w:tcPr>
            <w:tcW w:w="951" w:type="pct"/>
            <w:gridSpan w:val="11"/>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简介及主要特色 </w:t>
            </w:r>
          </w:p>
        </w:tc>
        <w:tc>
          <w:tcPr>
            <w:tcW w:w="461"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序号 </w:t>
            </w:r>
          </w:p>
        </w:tc>
        <w:tc>
          <w:tcPr>
            <w:tcW w:w="459"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 称</w:t>
            </w:r>
          </w:p>
        </w:tc>
        <w:tc>
          <w:tcPr>
            <w:tcW w:w="465"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长度 </w:t>
            </w:r>
          </w:p>
        </w:tc>
        <w:tc>
          <w:tcPr>
            <w:tcW w:w="1192" w:type="pct"/>
            <w:gridSpan w:val="19"/>
            <w:tcBorders>
              <w:top w:val="single" w:color="666666"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简介及主要特色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440" w:type="pct"/>
            <w:tcBorders>
              <w:top w:val="inset" w:color="808080" w:sz="6" w:space="0"/>
              <w:left w:val="single" w:color="auto" w:sz="4" w:space="0"/>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1 </w:t>
            </w:r>
          </w:p>
        </w:tc>
        <w:tc>
          <w:tcPr>
            <w:tcW w:w="459" w:type="pct"/>
            <w:gridSpan w:val="2"/>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569"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951" w:type="pct"/>
            <w:gridSpan w:val="11"/>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61"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2 </w:t>
            </w:r>
          </w:p>
        </w:tc>
        <w:tc>
          <w:tcPr>
            <w:tcW w:w="459"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65"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1192" w:type="pct"/>
            <w:gridSpan w:val="19"/>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440" w:type="pct"/>
            <w:tcBorders>
              <w:top w:val="inset" w:color="808080" w:sz="6" w:space="0"/>
              <w:left w:val="single" w:color="auto" w:sz="4" w:space="0"/>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3 </w:t>
            </w:r>
          </w:p>
        </w:tc>
        <w:tc>
          <w:tcPr>
            <w:tcW w:w="459" w:type="pct"/>
            <w:gridSpan w:val="2"/>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569"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951" w:type="pct"/>
            <w:gridSpan w:val="11"/>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61"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4 </w:t>
            </w:r>
          </w:p>
        </w:tc>
        <w:tc>
          <w:tcPr>
            <w:tcW w:w="459"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65"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1192" w:type="pct"/>
            <w:gridSpan w:val="19"/>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440" w:type="pct"/>
            <w:tcBorders>
              <w:top w:val="inset" w:color="808080" w:sz="6" w:space="0"/>
              <w:left w:val="single" w:color="auto" w:sz="4" w:space="0"/>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5 </w:t>
            </w:r>
          </w:p>
        </w:tc>
        <w:tc>
          <w:tcPr>
            <w:tcW w:w="459" w:type="pct"/>
            <w:gridSpan w:val="2"/>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569" w:type="pc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951" w:type="pct"/>
            <w:gridSpan w:val="11"/>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61"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6 </w:t>
            </w:r>
          </w:p>
        </w:tc>
        <w:tc>
          <w:tcPr>
            <w:tcW w:w="459"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65"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1192" w:type="pct"/>
            <w:gridSpan w:val="19"/>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5000" w:type="pct"/>
            <w:gridSpan w:val="56"/>
            <w:tcBorders>
              <w:top w:val="single" w:color="666666" w:sz="6" w:space="0"/>
              <w:left w:val="single" w:color="auto" w:sz="4" w:space="0"/>
              <w:bottom w:val="inset" w:color="808080" w:sz="6" w:space="0"/>
              <w:right w:val="single" w:color="auto" w:sz="4"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街巷之间相交情况（要注明相交街道名称）：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rPr>
          <w:trHeight w:val="319" w:hRule="atLeast"/>
        </w:trPr>
        <w:tc>
          <w:tcPr>
            <w:tcW w:w="1469" w:type="pct"/>
            <w:gridSpan w:val="4"/>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7.聚落与自然环境完整度</w:t>
            </w:r>
          </w:p>
        </w:tc>
        <w:tc>
          <w:tcPr>
            <w:tcW w:w="1228" w:type="pct"/>
            <w:gridSpan w:val="1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类别： </w:t>
            </w:r>
          </w:p>
        </w:tc>
        <w:tc>
          <w:tcPr>
            <w:tcW w:w="2301" w:type="pct"/>
            <w:gridSpan w:val="34"/>
            <w:tcBorders>
              <w:top w:val="single" w:color="666666"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分两类：完整优美；一般。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5000" w:type="pct"/>
            <w:gridSpan w:val="56"/>
            <w:tcBorders>
              <w:top w:val="single" w:color="666666" w:sz="6" w:space="0"/>
              <w:left w:val="single" w:color="auto" w:sz="4" w:space="0"/>
              <w:bottom w:val="inset" w:color="808080" w:sz="6" w:space="0"/>
              <w:right w:val="single" w:color="auto" w:sz="4"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反映聚落与周围自然环境的完整状况，要综合评价自然环境完整性、生态环境质量、建（构）筑物的和谐程度。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restar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8.空间格局及功能特色 </w:t>
            </w:r>
          </w:p>
        </w:tc>
        <w:tc>
          <w:tcPr>
            <w:tcW w:w="2466" w:type="pct"/>
            <w:gridSpan w:val="3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空间格局完整情况（指十分完整或较为完整） </w:t>
            </w:r>
          </w:p>
        </w:tc>
        <w:tc>
          <w:tcPr>
            <w:tcW w:w="1063" w:type="pct"/>
            <w:gridSpan w:val="14"/>
            <w:tcBorders>
              <w:top w:val="single" w:color="666666"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2466" w:type="pct"/>
            <w:gridSpan w:val="38"/>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有何明显特殊功能（指消防、给排水、防盗、防御等）（需注明相应史志资料的名称、著者、年代和原文） </w:t>
            </w:r>
          </w:p>
        </w:tc>
        <w:tc>
          <w:tcPr>
            <w:tcW w:w="1063" w:type="pct"/>
            <w:gridSpan w:val="14"/>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2466" w:type="pct"/>
            <w:gridSpan w:val="38"/>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反映何种规划布局特色理论（需注明相应史志资料的名称、著者、年代和原文） </w:t>
            </w:r>
          </w:p>
        </w:tc>
        <w:tc>
          <w:tcPr>
            <w:tcW w:w="1063" w:type="pct"/>
            <w:gridSpan w:val="14"/>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rPr>
          <w:trHeight w:val="1120" w:hRule="atLeast"/>
        </w:trPr>
        <w:tc>
          <w:tcPr>
            <w:tcW w:w="1469" w:type="pct"/>
            <w:gridSpan w:val="4"/>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9.保护范围用地面积规模 </w:t>
            </w:r>
          </w:p>
        </w:tc>
        <w:tc>
          <w:tcPr>
            <w:tcW w:w="3530" w:type="pct"/>
            <w:gridSpan w:val="52"/>
            <w:tcBorders>
              <w:top w:val="single" w:color="666666"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restar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w:t>
            </w:r>
            <w:r>
              <w:rPr>
                <w:rFonts w:hint="eastAsia" w:ascii="仿宋_GB2312" w:hAnsi="仿宋_GB2312" w:eastAsia="仿宋_GB2312" w:cs="仿宋_GB2312"/>
                <w:sz w:val="24"/>
                <w:highlight w:val="none"/>
                <w:u w:val="none"/>
                <w:lang w:eastAsia="zh"/>
              </w:rPr>
              <w:t>0</w:t>
            </w:r>
            <w:r>
              <w:rPr>
                <w:rFonts w:hint="eastAsia" w:ascii="仿宋_GB2312" w:hAnsi="仿宋_GB2312" w:eastAsia="仿宋_GB2312" w:cs="仿宋_GB2312"/>
                <w:sz w:val="24"/>
                <w:highlight w:val="none"/>
                <w:u w:val="none"/>
              </w:rPr>
              <w:t>.保护范围文物保护单位、</w:t>
            </w:r>
            <w:r>
              <w:rPr>
                <w:rFonts w:hint="eastAsia" w:ascii="仿宋_GB2312" w:hAnsi="仿宋_GB2312" w:eastAsia="仿宋_GB2312" w:cs="仿宋_GB2312"/>
                <w:sz w:val="24"/>
                <w:highlight w:val="none"/>
                <w:u w:val="none"/>
                <w:lang w:eastAsia="zh-CN"/>
              </w:rPr>
              <w:t>未定级不可移动文物</w:t>
            </w:r>
            <w:r>
              <w:rPr>
                <w:rFonts w:hint="eastAsia" w:ascii="仿宋_GB2312" w:hAnsi="仿宋_GB2312" w:eastAsia="仿宋_GB2312" w:cs="仿宋_GB2312"/>
                <w:sz w:val="24"/>
                <w:highlight w:val="none"/>
                <w:u w:val="none"/>
              </w:rPr>
              <w:t>数量 </w:t>
            </w:r>
          </w:p>
        </w:tc>
        <w:tc>
          <w:tcPr>
            <w:tcW w:w="503" w:type="pct"/>
            <w:gridSpan w:val="3"/>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数 量 </w:t>
            </w:r>
          </w:p>
        </w:tc>
        <w:tc>
          <w:tcPr>
            <w:tcW w:w="496"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序号 </w:t>
            </w:r>
          </w:p>
        </w:tc>
        <w:tc>
          <w:tcPr>
            <w:tcW w:w="501"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 称 </w:t>
            </w:r>
          </w:p>
        </w:tc>
        <w:tc>
          <w:tcPr>
            <w:tcW w:w="496" w:type="pct"/>
            <w:gridSpan w:val="10"/>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序号 </w:t>
            </w:r>
          </w:p>
        </w:tc>
        <w:tc>
          <w:tcPr>
            <w:tcW w:w="498"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 称 </w:t>
            </w:r>
          </w:p>
        </w:tc>
        <w:tc>
          <w:tcPr>
            <w:tcW w:w="499"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序号 </w:t>
            </w:r>
          </w:p>
        </w:tc>
        <w:tc>
          <w:tcPr>
            <w:tcW w:w="533" w:type="pct"/>
            <w:gridSpan w:val="4"/>
            <w:tcBorders>
              <w:top w:val="single" w:color="666666"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 称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503" w:type="pct"/>
            <w:gridSpan w:val="3"/>
            <w:vMerge w:val="restart"/>
            <w:tcBorders>
              <w:top w:val="single" w:color="666666" w:sz="6" w:space="0"/>
              <w:left w:val="nil"/>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96"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1 </w:t>
            </w:r>
          </w:p>
        </w:tc>
        <w:tc>
          <w:tcPr>
            <w:tcW w:w="501"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96" w:type="pct"/>
            <w:gridSpan w:val="10"/>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2 </w:t>
            </w:r>
          </w:p>
        </w:tc>
        <w:tc>
          <w:tcPr>
            <w:tcW w:w="498"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99"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3 </w:t>
            </w:r>
          </w:p>
        </w:tc>
        <w:tc>
          <w:tcPr>
            <w:tcW w:w="533" w:type="pct"/>
            <w:gridSpan w:val="4"/>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503" w:type="pct"/>
            <w:gridSpan w:val="3"/>
            <w:vMerge w:val="continue"/>
            <w:tcBorders>
              <w:left w:val="nil"/>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496" w:type="pct"/>
            <w:gridSpan w:val="9"/>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4 </w:t>
            </w:r>
          </w:p>
        </w:tc>
        <w:tc>
          <w:tcPr>
            <w:tcW w:w="501"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96" w:type="pct"/>
            <w:gridSpan w:val="10"/>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5 </w:t>
            </w:r>
          </w:p>
        </w:tc>
        <w:tc>
          <w:tcPr>
            <w:tcW w:w="498"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99"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6 </w:t>
            </w:r>
          </w:p>
        </w:tc>
        <w:tc>
          <w:tcPr>
            <w:tcW w:w="533" w:type="pct"/>
            <w:gridSpan w:val="4"/>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restar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w:t>
            </w:r>
            <w:r>
              <w:rPr>
                <w:rFonts w:hint="eastAsia" w:ascii="仿宋_GB2312" w:hAnsi="仿宋_GB2312" w:eastAsia="仿宋_GB2312" w:cs="仿宋_GB2312"/>
                <w:sz w:val="24"/>
                <w:highlight w:val="none"/>
                <w:u w:val="none"/>
                <w:lang w:eastAsia="zh"/>
              </w:rPr>
              <w:t>1</w:t>
            </w:r>
            <w:r>
              <w:rPr>
                <w:rFonts w:hint="eastAsia" w:ascii="仿宋_GB2312" w:hAnsi="仿宋_GB2312" w:eastAsia="仿宋_GB2312" w:cs="仿宋_GB2312"/>
                <w:sz w:val="24"/>
                <w:highlight w:val="none"/>
                <w:u w:val="none"/>
              </w:rPr>
              <w:t>.保护范围历史建筑数量 </w:t>
            </w:r>
          </w:p>
        </w:tc>
        <w:tc>
          <w:tcPr>
            <w:tcW w:w="503" w:type="pct"/>
            <w:gridSpan w:val="3"/>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数 量 </w:t>
            </w:r>
          </w:p>
        </w:tc>
        <w:tc>
          <w:tcPr>
            <w:tcW w:w="496"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序号 </w:t>
            </w:r>
          </w:p>
        </w:tc>
        <w:tc>
          <w:tcPr>
            <w:tcW w:w="501"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 称 </w:t>
            </w:r>
          </w:p>
        </w:tc>
        <w:tc>
          <w:tcPr>
            <w:tcW w:w="496" w:type="pct"/>
            <w:gridSpan w:val="10"/>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序号 </w:t>
            </w:r>
          </w:p>
        </w:tc>
        <w:tc>
          <w:tcPr>
            <w:tcW w:w="498"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 称 </w:t>
            </w:r>
          </w:p>
        </w:tc>
        <w:tc>
          <w:tcPr>
            <w:tcW w:w="499"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序号 </w:t>
            </w:r>
          </w:p>
        </w:tc>
        <w:tc>
          <w:tcPr>
            <w:tcW w:w="533" w:type="pct"/>
            <w:gridSpan w:val="4"/>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 称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503" w:type="pct"/>
            <w:gridSpan w:val="3"/>
            <w:vMerge w:val="restart"/>
            <w:tcBorders>
              <w:top w:val="single" w:color="666666" w:sz="6" w:space="0"/>
              <w:left w:val="nil"/>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96"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1 </w:t>
            </w:r>
          </w:p>
        </w:tc>
        <w:tc>
          <w:tcPr>
            <w:tcW w:w="501"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96" w:type="pct"/>
            <w:gridSpan w:val="10"/>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2 </w:t>
            </w:r>
          </w:p>
        </w:tc>
        <w:tc>
          <w:tcPr>
            <w:tcW w:w="498"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99"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3 </w:t>
            </w:r>
          </w:p>
        </w:tc>
        <w:tc>
          <w:tcPr>
            <w:tcW w:w="533" w:type="pct"/>
            <w:gridSpan w:val="4"/>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503" w:type="pct"/>
            <w:gridSpan w:val="3"/>
            <w:vMerge w:val="continue"/>
            <w:tcBorders>
              <w:left w:val="nil"/>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496" w:type="pct"/>
            <w:gridSpan w:val="9"/>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4 </w:t>
            </w:r>
          </w:p>
        </w:tc>
        <w:tc>
          <w:tcPr>
            <w:tcW w:w="501"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96" w:type="pct"/>
            <w:gridSpan w:val="10"/>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5 </w:t>
            </w:r>
          </w:p>
        </w:tc>
        <w:tc>
          <w:tcPr>
            <w:tcW w:w="498"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99"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6 </w:t>
            </w:r>
          </w:p>
        </w:tc>
        <w:tc>
          <w:tcPr>
            <w:tcW w:w="533" w:type="pct"/>
            <w:gridSpan w:val="4"/>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restart"/>
            <w:tcBorders>
              <w:top w:val="single" w:color="666666" w:sz="6" w:space="0"/>
              <w:left w:val="single" w:color="666666"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w:t>
            </w:r>
            <w:r>
              <w:rPr>
                <w:rFonts w:hint="eastAsia" w:ascii="仿宋_GB2312" w:hAnsi="仿宋_GB2312" w:eastAsia="仿宋_GB2312" w:cs="仿宋_GB2312"/>
                <w:sz w:val="24"/>
                <w:highlight w:val="none"/>
                <w:u w:val="none"/>
                <w:lang w:eastAsia="zh"/>
              </w:rPr>
              <w:t>2</w:t>
            </w:r>
            <w:r>
              <w:rPr>
                <w:rFonts w:hint="eastAsia" w:ascii="仿宋_GB2312" w:hAnsi="仿宋_GB2312" w:eastAsia="仿宋_GB2312" w:cs="仿宋_GB2312"/>
                <w:sz w:val="24"/>
                <w:highlight w:val="none"/>
                <w:u w:val="none"/>
              </w:rPr>
              <w:t>.保护范围原住居民人口规模及比例情况 </w:t>
            </w:r>
          </w:p>
        </w:tc>
        <w:tc>
          <w:tcPr>
            <w:tcW w:w="871"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保护范围原住居民人口规模（人） </w:t>
            </w:r>
          </w:p>
        </w:tc>
        <w:tc>
          <w:tcPr>
            <w:tcW w:w="874" w:type="pct"/>
            <w:gridSpan w:val="1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保护范围全部常住人口（人）</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人口规模（人） </w:t>
            </w:r>
          </w:p>
        </w:tc>
        <w:tc>
          <w:tcPr>
            <w:tcW w:w="847" w:type="pct"/>
            <w:gridSpan w:val="17"/>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保护范围原住居民占全部常住人口比例（%） </w:t>
            </w:r>
          </w:p>
        </w:tc>
        <w:tc>
          <w:tcPr>
            <w:tcW w:w="936" w:type="pct"/>
            <w:gridSpan w:val="11"/>
            <w:tcBorders>
              <w:top w:val="single" w:color="666666" w:sz="6" w:space="0"/>
              <w:left w:val="single" w:color="666666" w:sz="6" w:space="0"/>
              <w:bottom w:val="single" w:color="666666"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保护范围每公顷面积常住人口数（人）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882" w:type="pct"/>
            <w:gridSpan w:val="10"/>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882" w:type="pct"/>
            <w:gridSpan w:val="17"/>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882" w:type="pct"/>
            <w:gridSpan w:val="1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882" w:type="pct"/>
            <w:gridSpan w:val="9"/>
            <w:tcBorders>
              <w:top w:val="single" w:color="666666" w:sz="6" w:space="0"/>
              <w:left w:val="single" w:color="666666" w:sz="6" w:space="0"/>
              <w:bottom w:val="single" w:color="666666"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restart"/>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w:t>
            </w:r>
            <w:r>
              <w:rPr>
                <w:rFonts w:hint="eastAsia" w:ascii="仿宋_GB2312" w:hAnsi="仿宋_GB2312" w:eastAsia="仿宋_GB2312" w:cs="仿宋_GB2312"/>
                <w:sz w:val="24"/>
                <w:highlight w:val="none"/>
                <w:u w:val="none"/>
                <w:lang w:eastAsia="zh"/>
              </w:rPr>
              <w:t>3</w:t>
            </w:r>
            <w:r>
              <w:rPr>
                <w:rFonts w:hint="eastAsia" w:ascii="仿宋_GB2312" w:hAnsi="仿宋_GB2312" w:eastAsia="仿宋_GB2312" w:cs="仿宋_GB2312"/>
                <w:sz w:val="24"/>
                <w:highlight w:val="none"/>
                <w:u w:val="none"/>
              </w:rPr>
              <w:t>.传统节日、手工艺和风俗类型，源于本地的诗词、传说、戏曲、歌赋的数量 </w:t>
            </w:r>
          </w:p>
        </w:tc>
        <w:tc>
          <w:tcPr>
            <w:tcW w:w="503" w:type="pct"/>
            <w:gridSpan w:val="3"/>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数 量 </w:t>
            </w:r>
          </w:p>
        </w:tc>
        <w:tc>
          <w:tcPr>
            <w:tcW w:w="496"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序号 </w:t>
            </w:r>
          </w:p>
        </w:tc>
        <w:tc>
          <w:tcPr>
            <w:tcW w:w="501"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 称 </w:t>
            </w:r>
          </w:p>
        </w:tc>
        <w:tc>
          <w:tcPr>
            <w:tcW w:w="496" w:type="pct"/>
            <w:gridSpan w:val="10"/>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序号 </w:t>
            </w:r>
          </w:p>
        </w:tc>
        <w:tc>
          <w:tcPr>
            <w:tcW w:w="497"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 称 </w:t>
            </w:r>
          </w:p>
        </w:tc>
        <w:tc>
          <w:tcPr>
            <w:tcW w:w="498"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序号 </w:t>
            </w:r>
          </w:p>
        </w:tc>
        <w:tc>
          <w:tcPr>
            <w:tcW w:w="535" w:type="pct"/>
            <w:gridSpan w:val="5"/>
            <w:tcBorders>
              <w:top w:val="single" w:color="666666"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 称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503" w:type="pct"/>
            <w:gridSpan w:val="3"/>
            <w:vMerge w:val="restart"/>
            <w:tcBorders>
              <w:top w:val="single" w:color="666666" w:sz="6" w:space="0"/>
              <w:left w:val="nil"/>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96"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1 </w:t>
            </w:r>
          </w:p>
        </w:tc>
        <w:tc>
          <w:tcPr>
            <w:tcW w:w="501"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96" w:type="pct"/>
            <w:gridSpan w:val="10"/>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2 </w:t>
            </w:r>
          </w:p>
        </w:tc>
        <w:tc>
          <w:tcPr>
            <w:tcW w:w="497"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98"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3 </w:t>
            </w:r>
          </w:p>
        </w:tc>
        <w:tc>
          <w:tcPr>
            <w:tcW w:w="535" w:type="pct"/>
            <w:gridSpan w:val="5"/>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503" w:type="pct"/>
            <w:gridSpan w:val="3"/>
            <w:vMerge w:val="continue"/>
            <w:tcBorders>
              <w:left w:val="nil"/>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496" w:type="pct"/>
            <w:gridSpan w:val="9"/>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4 </w:t>
            </w:r>
          </w:p>
        </w:tc>
        <w:tc>
          <w:tcPr>
            <w:tcW w:w="501"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96" w:type="pct"/>
            <w:gridSpan w:val="10"/>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5 </w:t>
            </w:r>
          </w:p>
        </w:tc>
        <w:tc>
          <w:tcPr>
            <w:tcW w:w="497"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498"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6 </w:t>
            </w:r>
          </w:p>
        </w:tc>
        <w:tc>
          <w:tcPr>
            <w:tcW w:w="535" w:type="pct"/>
            <w:gridSpan w:val="5"/>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restart"/>
            <w:tcBorders>
              <w:top w:val="single" w:color="666666" w:sz="6" w:space="0"/>
              <w:left w:val="single" w:color="666666" w:sz="6" w:space="0"/>
              <w:right w:val="inset" w:color="808080" w:sz="6" w:space="0"/>
            </w:tcBorders>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w:t>
            </w:r>
            <w:r>
              <w:rPr>
                <w:rFonts w:hint="eastAsia" w:ascii="仿宋_GB2312" w:hAnsi="仿宋_GB2312" w:eastAsia="仿宋_GB2312" w:cs="仿宋_GB2312"/>
                <w:sz w:val="24"/>
                <w:highlight w:val="none"/>
                <w:u w:val="none"/>
                <w:lang w:eastAsia="zh"/>
              </w:rPr>
              <w:t>4</w:t>
            </w:r>
            <w:r>
              <w:rPr>
                <w:rFonts w:hint="eastAsia" w:ascii="仿宋_GB2312" w:hAnsi="仿宋_GB2312" w:eastAsia="仿宋_GB2312" w:cs="仿宋_GB2312"/>
                <w:sz w:val="24"/>
                <w:highlight w:val="none"/>
                <w:u w:val="none"/>
              </w:rPr>
              <w:t>.拥有非物质文化遗产代表性项目的等级 </w:t>
            </w:r>
          </w:p>
        </w:tc>
        <w:tc>
          <w:tcPr>
            <w:tcW w:w="503" w:type="pct"/>
            <w:gridSpan w:val="3"/>
            <w:vMerge w:val="restart"/>
            <w:tcBorders>
              <w:left w:val="nil"/>
              <w:right w:val="inset" w:color="808080" w:sz="6" w:space="0"/>
            </w:tcBorders>
            <w:vAlign w:val="center"/>
          </w:tcPr>
          <w:p>
            <w:pPr>
              <w:widowControl/>
              <w:spacing w:after="0" w:line="340" w:lineRule="exact"/>
              <w:ind w:left="0" w:leftChars="0" w:firstLine="240" w:firstLineChars="100"/>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最高</w:t>
            </w:r>
          </w:p>
          <w:p>
            <w:pPr>
              <w:widowControl/>
              <w:spacing w:after="0" w:line="340" w:lineRule="exact"/>
              <w:ind w:left="0" w:leftChars="0" w:firstLine="240" w:firstLineChars="100"/>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等级</w:t>
            </w:r>
          </w:p>
        </w:tc>
        <w:tc>
          <w:tcPr>
            <w:tcW w:w="496" w:type="pct"/>
            <w:gridSpan w:val="9"/>
            <w:vMerge w:val="restart"/>
            <w:tcBorders>
              <w:top w:val="single" w:color="666666" w:sz="6" w:space="0"/>
              <w:left w:val="nil"/>
              <w:right w:val="inset" w:color="808080" w:sz="6" w:space="0"/>
            </w:tcBorders>
            <w:tcMar>
              <w:top w:w="82" w:type="dxa"/>
              <w:left w:w="80"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501"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等级 </w:t>
            </w:r>
          </w:p>
        </w:tc>
        <w:tc>
          <w:tcPr>
            <w:tcW w:w="496" w:type="pct"/>
            <w:gridSpan w:val="10"/>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数量（处）</w:t>
            </w:r>
          </w:p>
        </w:tc>
        <w:tc>
          <w:tcPr>
            <w:tcW w:w="497"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240" w:lineRule="auto"/>
              <w:ind w:left="0" w:leftChars="0" w:firstLine="0" w:firstLineChars="0"/>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lang w:eastAsia="zh"/>
              </w:rPr>
              <w:t>序号</w:t>
            </w:r>
          </w:p>
        </w:tc>
        <w:tc>
          <w:tcPr>
            <w:tcW w:w="498"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 称</w:t>
            </w:r>
          </w:p>
        </w:tc>
        <w:tc>
          <w:tcPr>
            <w:tcW w:w="535" w:type="pct"/>
            <w:gridSpan w:val="5"/>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公布时间</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left w:val="single" w:color="666666" w:sz="6" w:space="0"/>
              <w:right w:val="inset" w:color="808080" w:sz="6" w:space="0"/>
            </w:tcBorders>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503" w:type="pct"/>
            <w:gridSpan w:val="3"/>
            <w:vMerge w:val="continue"/>
            <w:tcBorders>
              <w:left w:val="nil"/>
              <w:right w:val="inset" w:color="808080" w:sz="6" w:space="0"/>
            </w:tcBorders>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496" w:type="pct"/>
            <w:gridSpan w:val="9"/>
            <w:vMerge w:val="continue"/>
            <w:tcBorders>
              <w:left w:val="nil"/>
              <w:right w:val="inset" w:color="808080" w:sz="6" w:space="0"/>
            </w:tcBorders>
            <w:tcMar>
              <w:top w:w="82" w:type="dxa"/>
              <w:left w:w="80"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501" w:type="pct"/>
            <w:gridSpan w:val="9"/>
            <w:vMerge w:val="restart"/>
            <w:tcBorders>
              <w:top w:val="single" w:color="666666" w:sz="6" w:space="0"/>
              <w:left w:val="single" w:color="666666"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国家级</w:t>
            </w:r>
          </w:p>
        </w:tc>
        <w:tc>
          <w:tcPr>
            <w:tcW w:w="496" w:type="pct"/>
            <w:gridSpan w:val="10"/>
            <w:vMerge w:val="restart"/>
            <w:tcBorders>
              <w:top w:val="single" w:color="666666" w:sz="6" w:space="0"/>
              <w:left w:val="single" w:color="666666"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497"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lang w:eastAsia="zh"/>
              </w:rPr>
            </w:pPr>
            <w:r>
              <w:rPr>
                <w:rFonts w:hint="eastAsia" w:ascii="仿宋_GB2312" w:hAnsi="仿宋_GB2312" w:eastAsia="仿宋_GB2312" w:cs="仿宋_GB2312"/>
                <w:sz w:val="24"/>
                <w:highlight w:val="none"/>
                <w:u w:val="none"/>
                <w:lang w:eastAsia="zh"/>
              </w:rPr>
              <w:t>1</w:t>
            </w:r>
          </w:p>
        </w:tc>
        <w:tc>
          <w:tcPr>
            <w:tcW w:w="498"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535" w:type="pct"/>
            <w:gridSpan w:val="5"/>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left w:val="single" w:color="666666" w:sz="6" w:space="0"/>
              <w:right w:val="inset" w:color="808080" w:sz="6" w:space="0"/>
            </w:tcBorders>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503" w:type="pct"/>
            <w:gridSpan w:val="3"/>
            <w:vMerge w:val="continue"/>
            <w:tcBorders>
              <w:left w:val="nil"/>
              <w:right w:val="inset" w:color="808080" w:sz="6" w:space="0"/>
            </w:tcBorders>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496" w:type="pct"/>
            <w:gridSpan w:val="9"/>
            <w:vMerge w:val="continue"/>
            <w:tcBorders>
              <w:left w:val="nil"/>
              <w:right w:val="inset" w:color="808080" w:sz="6" w:space="0"/>
            </w:tcBorders>
            <w:tcMar>
              <w:top w:w="82" w:type="dxa"/>
              <w:left w:w="80"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501" w:type="pct"/>
            <w:gridSpan w:val="9"/>
            <w:vMerge w:val="continue"/>
            <w:tcBorders>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496" w:type="pct"/>
            <w:gridSpan w:val="10"/>
            <w:vMerge w:val="continue"/>
            <w:tcBorders>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497"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lang w:eastAsia="zh"/>
              </w:rPr>
            </w:pPr>
            <w:r>
              <w:rPr>
                <w:rFonts w:hint="eastAsia" w:ascii="仿宋_GB2312" w:hAnsi="仿宋_GB2312" w:eastAsia="仿宋_GB2312" w:cs="仿宋_GB2312"/>
                <w:sz w:val="24"/>
                <w:highlight w:val="none"/>
                <w:u w:val="none"/>
                <w:lang w:eastAsia="zh"/>
              </w:rPr>
              <w:t>2</w:t>
            </w:r>
          </w:p>
        </w:tc>
        <w:tc>
          <w:tcPr>
            <w:tcW w:w="498"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535" w:type="pct"/>
            <w:gridSpan w:val="5"/>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left w:val="single" w:color="666666" w:sz="6" w:space="0"/>
              <w:right w:val="inset" w:color="808080" w:sz="6" w:space="0"/>
            </w:tcBorders>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503" w:type="pct"/>
            <w:gridSpan w:val="3"/>
            <w:vMerge w:val="continue"/>
            <w:tcBorders>
              <w:left w:val="nil"/>
              <w:right w:val="inset" w:color="808080" w:sz="6" w:space="0"/>
            </w:tcBorders>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496" w:type="pct"/>
            <w:gridSpan w:val="9"/>
            <w:vMerge w:val="continue"/>
            <w:tcBorders>
              <w:left w:val="nil"/>
              <w:right w:val="inset" w:color="808080" w:sz="6" w:space="0"/>
            </w:tcBorders>
            <w:tcMar>
              <w:top w:w="82" w:type="dxa"/>
              <w:left w:w="80"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501" w:type="pct"/>
            <w:gridSpan w:val="9"/>
            <w:vMerge w:val="restart"/>
            <w:tcBorders>
              <w:top w:val="single" w:color="666666" w:sz="6" w:space="0"/>
              <w:left w:val="single" w:color="666666"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省级 </w:t>
            </w:r>
          </w:p>
        </w:tc>
        <w:tc>
          <w:tcPr>
            <w:tcW w:w="496" w:type="pct"/>
            <w:gridSpan w:val="10"/>
            <w:vMerge w:val="restart"/>
            <w:tcBorders>
              <w:top w:val="single" w:color="666666" w:sz="6" w:space="0"/>
              <w:left w:val="single" w:color="666666"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497"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lang w:eastAsia="zh"/>
              </w:rPr>
            </w:pPr>
            <w:r>
              <w:rPr>
                <w:rFonts w:hint="eastAsia" w:ascii="仿宋_GB2312" w:hAnsi="仿宋_GB2312" w:eastAsia="仿宋_GB2312" w:cs="仿宋_GB2312"/>
                <w:sz w:val="24"/>
                <w:highlight w:val="none"/>
                <w:u w:val="none"/>
                <w:lang w:eastAsia="zh"/>
              </w:rPr>
              <w:t>1</w:t>
            </w:r>
          </w:p>
        </w:tc>
        <w:tc>
          <w:tcPr>
            <w:tcW w:w="498"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535" w:type="pct"/>
            <w:gridSpan w:val="5"/>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left w:val="single" w:color="666666" w:sz="6" w:space="0"/>
              <w:right w:val="inset" w:color="808080" w:sz="6" w:space="0"/>
            </w:tcBorders>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503" w:type="pct"/>
            <w:gridSpan w:val="3"/>
            <w:vMerge w:val="continue"/>
            <w:tcBorders>
              <w:left w:val="nil"/>
              <w:right w:val="inset" w:color="808080" w:sz="6" w:space="0"/>
            </w:tcBorders>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496" w:type="pct"/>
            <w:gridSpan w:val="9"/>
            <w:vMerge w:val="continue"/>
            <w:tcBorders>
              <w:left w:val="nil"/>
              <w:right w:val="inset" w:color="808080" w:sz="6" w:space="0"/>
            </w:tcBorders>
            <w:tcMar>
              <w:top w:w="82" w:type="dxa"/>
              <w:left w:w="80"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501" w:type="pct"/>
            <w:gridSpan w:val="9"/>
            <w:vMerge w:val="continue"/>
            <w:tcBorders>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496" w:type="pct"/>
            <w:gridSpan w:val="10"/>
            <w:vMerge w:val="continue"/>
            <w:tcBorders>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497"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lang w:eastAsia="zh"/>
              </w:rPr>
            </w:pPr>
            <w:r>
              <w:rPr>
                <w:rFonts w:hint="eastAsia" w:ascii="仿宋_GB2312" w:hAnsi="仿宋_GB2312" w:eastAsia="仿宋_GB2312" w:cs="仿宋_GB2312"/>
                <w:sz w:val="24"/>
                <w:highlight w:val="none"/>
                <w:u w:val="none"/>
                <w:lang w:eastAsia="zh"/>
              </w:rPr>
              <w:t>2</w:t>
            </w:r>
          </w:p>
        </w:tc>
        <w:tc>
          <w:tcPr>
            <w:tcW w:w="498"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535" w:type="pct"/>
            <w:gridSpan w:val="5"/>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left w:val="single" w:color="666666" w:sz="6" w:space="0"/>
              <w:right w:val="inset" w:color="808080" w:sz="6" w:space="0"/>
            </w:tcBorders>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503" w:type="pct"/>
            <w:gridSpan w:val="3"/>
            <w:vMerge w:val="continue"/>
            <w:tcBorders>
              <w:left w:val="nil"/>
              <w:right w:val="inset" w:color="808080" w:sz="6" w:space="0"/>
            </w:tcBorders>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496" w:type="pct"/>
            <w:gridSpan w:val="9"/>
            <w:vMerge w:val="continue"/>
            <w:tcBorders>
              <w:left w:val="nil"/>
              <w:right w:val="inset" w:color="808080" w:sz="6" w:space="0"/>
            </w:tcBorders>
            <w:tcMar>
              <w:top w:w="82" w:type="dxa"/>
              <w:left w:w="80"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501" w:type="pct"/>
            <w:gridSpan w:val="9"/>
            <w:vMerge w:val="restart"/>
            <w:tcBorders>
              <w:top w:val="single" w:color="666666" w:sz="6" w:space="0"/>
              <w:left w:val="single" w:color="666666"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市县级</w:t>
            </w:r>
          </w:p>
        </w:tc>
        <w:tc>
          <w:tcPr>
            <w:tcW w:w="496" w:type="pct"/>
            <w:gridSpan w:val="10"/>
            <w:vMerge w:val="restart"/>
            <w:tcBorders>
              <w:top w:val="single" w:color="666666" w:sz="6" w:space="0"/>
              <w:left w:val="single" w:color="666666"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497"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lang w:eastAsia="zh"/>
              </w:rPr>
            </w:pPr>
            <w:r>
              <w:rPr>
                <w:rFonts w:hint="eastAsia" w:ascii="仿宋_GB2312" w:hAnsi="仿宋_GB2312" w:eastAsia="仿宋_GB2312" w:cs="仿宋_GB2312"/>
                <w:sz w:val="24"/>
                <w:highlight w:val="none"/>
                <w:u w:val="none"/>
                <w:lang w:eastAsia="zh"/>
              </w:rPr>
              <w:t>1</w:t>
            </w:r>
          </w:p>
        </w:tc>
        <w:tc>
          <w:tcPr>
            <w:tcW w:w="498"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535" w:type="pct"/>
            <w:gridSpan w:val="5"/>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left w:val="single" w:color="666666" w:sz="6" w:space="0"/>
              <w:bottom w:val="inset" w:color="808080" w:sz="6" w:space="0"/>
              <w:right w:val="inset" w:color="808080" w:sz="6" w:space="0"/>
            </w:tcBorders>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503" w:type="pct"/>
            <w:gridSpan w:val="3"/>
            <w:vMerge w:val="continue"/>
            <w:tcBorders>
              <w:left w:val="nil"/>
              <w:bottom w:val="inset" w:color="808080" w:sz="6" w:space="0"/>
              <w:right w:val="inset" w:color="808080" w:sz="6" w:space="0"/>
            </w:tcBorders>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496" w:type="pct"/>
            <w:gridSpan w:val="9"/>
            <w:vMerge w:val="continue"/>
            <w:tcBorders>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501" w:type="pct"/>
            <w:gridSpan w:val="9"/>
            <w:vMerge w:val="continue"/>
            <w:tcBorders>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496" w:type="pct"/>
            <w:gridSpan w:val="10"/>
            <w:vMerge w:val="continue"/>
            <w:tcBorders>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497"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lang w:eastAsia="zh"/>
              </w:rPr>
            </w:pPr>
            <w:r>
              <w:rPr>
                <w:rFonts w:hint="eastAsia" w:ascii="仿宋_GB2312" w:hAnsi="仿宋_GB2312" w:eastAsia="仿宋_GB2312" w:cs="仿宋_GB2312"/>
                <w:sz w:val="24"/>
                <w:highlight w:val="none"/>
                <w:u w:val="none"/>
                <w:lang w:eastAsia="zh"/>
              </w:rPr>
              <w:t>2</w:t>
            </w:r>
          </w:p>
        </w:tc>
        <w:tc>
          <w:tcPr>
            <w:tcW w:w="498"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c>
          <w:tcPr>
            <w:tcW w:w="535" w:type="pct"/>
            <w:gridSpan w:val="5"/>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ind w:left="0" w:leftChars="0" w:firstLine="0" w:firstLineChars="0"/>
              <w:jc w:val="left"/>
              <w:rPr>
                <w:rFonts w:hint="eastAsia" w:ascii="仿宋_GB2312" w:hAnsi="仿宋_GB2312" w:eastAsia="仿宋_GB2312" w:cs="仿宋_GB2312"/>
                <w:sz w:val="24"/>
                <w:highlight w:val="none"/>
                <w:u w:val="none"/>
              </w:rPr>
            </w:pP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restart"/>
            <w:tcBorders>
              <w:top w:val="single" w:color="666666" w:sz="6" w:space="0"/>
              <w:left w:val="single" w:color="666666"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w:t>
            </w:r>
            <w:r>
              <w:rPr>
                <w:rFonts w:hint="eastAsia" w:ascii="仿宋_GB2312" w:hAnsi="仿宋_GB2312" w:eastAsia="仿宋_GB2312" w:cs="仿宋_GB2312"/>
                <w:sz w:val="24"/>
                <w:highlight w:val="none"/>
                <w:u w:val="none"/>
                <w:lang w:eastAsia="zh"/>
              </w:rPr>
              <w:t>5</w:t>
            </w:r>
            <w:r>
              <w:rPr>
                <w:rFonts w:hint="eastAsia" w:ascii="仿宋_GB2312" w:hAnsi="仿宋_GB2312" w:eastAsia="仿宋_GB2312" w:cs="仿宋_GB2312"/>
                <w:sz w:val="24"/>
                <w:highlight w:val="none"/>
                <w:u w:val="none"/>
              </w:rPr>
              <w:t>.保护规划编制情况 </w:t>
            </w:r>
          </w:p>
        </w:tc>
        <w:tc>
          <w:tcPr>
            <w:tcW w:w="1170" w:type="pct"/>
            <w:gridSpan w:val="15"/>
            <w:tcBorders>
              <w:top w:val="single" w:color="666666" w:sz="6" w:space="0"/>
              <w:left w:val="single" w:color="666666" w:sz="6" w:space="0"/>
              <w:bottom w:val="single" w:color="666666"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编制单位名称 </w:t>
            </w:r>
          </w:p>
        </w:tc>
        <w:tc>
          <w:tcPr>
            <w:tcW w:w="1167" w:type="pct"/>
            <w:gridSpan w:val="18"/>
            <w:tcBorders>
              <w:top w:val="single" w:color="666666" w:sz="6" w:space="0"/>
              <w:left w:val="single" w:color="666666" w:sz="6" w:space="0"/>
              <w:bottom w:val="single" w:color="666666"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资质等级编号</w:t>
            </w:r>
          </w:p>
        </w:tc>
        <w:tc>
          <w:tcPr>
            <w:tcW w:w="1192" w:type="pct"/>
            <w:gridSpan w:val="19"/>
            <w:tcBorders>
              <w:top w:val="single" w:color="666666" w:sz="6" w:space="0"/>
              <w:left w:val="single" w:color="666666" w:sz="6" w:space="0"/>
              <w:bottom w:val="single" w:color="666666"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保护规划批准部门及时间</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170" w:type="pct"/>
            <w:gridSpan w:val="1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167" w:type="pct"/>
            <w:gridSpan w:val="1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192" w:type="pct"/>
            <w:gridSpan w:val="19"/>
            <w:tcBorders>
              <w:top w:val="single" w:color="666666"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restart"/>
            <w:tcBorders>
              <w:top w:val="single" w:color="666666" w:sz="6" w:space="0"/>
              <w:left w:val="single" w:color="666666"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w:t>
            </w:r>
            <w:r>
              <w:rPr>
                <w:rFonts w:hint="eastAsia" w:ascii="仿宋_GB2312" w:hAnsi="仿宋_GB2312" w:eastAsia="仿宋_GB2312" w:cs="仿宋_GB2312"/>
                <w:sz w:val="24"/>
                <w:highlight w:val="none"/>
                <w:u w:val="none"/>
                <w:lang w:eastAsia="zh"/>
              </w:rPr>
              <w:t>6</w:t>
            </w:r>
            <w:r>
              <w:rPr>
                <w:rFonts w:hint="eastAsia" w:ascii="仿宋_GB2312" w:hAnsi="仿宋_GB2312" w:eastAsia="仿宋_GB2312" w:cs="仿宋_GB2312"/>
                <w:sz w:val="24"/>
                <w:highlight w:val="none"/>
                <w:u w:val="none"/>
              </w:rPr>
              <w:t>.文物保护单位、</w:t>
            </w:r>
            <w:r>
              <w:rPr>
                <w:rFonts w:hint="eastAsia" w:ascii="仿宋_GB2312" w:hAnsi="仿宋_GB2312" w:eastAsia="仿宋_GB2312" w:cs="仿宋_GB2312"/>
                <w:sz w:val="24"/>
                <w:highlight w:val="none"/>
                <w:u w:val="none"/>
                <w:lang w:eastAsia="zh-CN"/>
              </w:rPr>
              <w:t>未定级不可移动文物</w:t>
            </w:r>
            <w:r>
              <w:rPr>
                <w:rFonts w:hint="eastAsia" w:ascii="仿宋_GB2312" w:hAnsi="仿宋_GB2312" w:eastAsia="仿宋_GB2312" w:cs="仿宋_GB2312"/>
                <w:sz w:val="24"/>
                <w:highlight w:val="none"/>
                <w:u w:val="none"/>
              </w:rPr>
              <w:t>建档并挂牌保护情况 </w:t>
            </w:r>
          </w:p>
        </w:tc>
        <w:tc>
          <w:tcPr>
            <w:tcW w:w="1170" w:type="pct"/>
            <w:gridSpan w:val="1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已经建档的文物保护单位、</w:t>
            </w:r>
            <w:r>
              <w:rPr>
                <w:rFonts w:hint="eastAsia" w:ascii="仿宋_GB2312" w:hAnsi="仿宋_GB2312" w:eastAsia="仿宋_GB2312" w:cs="仿宋_GB2312"/>
                <w:sz w:val="24"/>
                <w:highlight w:val="none"/>
                <w:u w:val="none"/>
                <w:lang w:eastAsia="zh-CN"/>
              </w:rPr>
              <w:t>未定级不可移动文物</w:t>
            </w:r>
            <w:r>
              <w:rPr>
                <w:rFonts w:hint="eastAsia" w:ascii="仿宋_GB2312" w:hAnsi="仿宋_GB2312" w:eastAsia="仿宋_GB2312" w:cs="仿宋_GB2312"/>
                <w:sz w:val="24"/>
                <w:highlight w:val="none"/>
                <w:u w:val="none"/>
              </w:rPr>
              <w:t>数量（处） </w:t>
            </w:r>
          </w:p>
        </w:tc>
        <w:tc>
          <w:tcPr>
            <w:tcW w:w="1167" w:type="pct"/>
            <w:gridSpan w:val="1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pacing w:val="-6"/>
                <w:sz w:val="24"/>
                <w:highlight w:val="none"/>
                <w:u w:val="none"/>
              </w:rPr>
              <w:t>已经挂牌保护的文物保护单位、</w:t>
            </w:r>
            <w:r>
              <w:rPr>
                <w:rFonts w:hint="eastAsia" w:ascii="仿宋_GB2312" w:hAnsi="仿宋_GB2312" w:eastAsia="仿宋_GB2312" w:cs="仿宋_GB2312"/>
                <w:spacing w:val="-6"/>
                <w:sz w:val="24"/>
                <w:highlight w:val="none"/>
                <w:u w:val="none"/>
                <w:lang w:eastAsia="zh-CN"/>
              </w:rPr>
              <w:t>未定级不可移动文物</w:t>
            </w:r>
            <w:r>
              <w:rPr>
                <w:rFonts w:hint="eastAsia" w:ascii="仿宋_GB2312" w:hAnsi="仿宋_GB2312" w:eastAsia="仿宋_GB2312" w:cs="仿宋_GB2312"/>
                <w:spacing w:val="-6"/>
                <w:sz w:val="24"/>
                <w:highlight w:val="none"/>
                <w:u w:val="none"/>
              </w:rPr>
              <w:t>数量（处）</w:t>
            </w:r>
            <w:r>
              <w:rPr>
                <w:rFonts w:hint="eastAsia" w:ascii="仿宋_GB2312" w:hAnsi="仿宋_GB2312" w:eastAsia="仿宋_GB2312" w:cs="仿宋_GB2312"/>
                <w:sz w:val="24"/>
                <w:highlight w:val="none"/>
                <w:u w:val="none"/>
              </w:rPr>
              <w:t> </w:t>
            </w:r>
          </w:p>
        </w:tc>
        <w:tc>
          <w:tcPr>
            <w:tcW w:w="1192" w:type="pct"/>
            <w:gridSpan w:val="19"/>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已挂牌保护的文物保护单位、</w:t>
            </w:r>
            <w:r>
              <w:rPr>
                <w:rFonts w:hint="eastAsia" w:ascii="仿宋_GB2312" w:hAnsi="仿宋_GB2312" w:eastAsia="仿宋_GB2312" w:cs="仿宋_GB2312"/>
                <w:sz w:val="24"/>
                <w:highlight w:val="none"/>
                <w:u w:val="none"/>
                <w:lang w:eastAsia="zh-CN"/>
              </w:rPr>
              <w:t>未定级不可移动文物</w:t>
            </w:r>
            <w:r>
              <w:rPr>
                <w:rFonts w:hint="eastAsia" w:ascii="仿宋_GB2312" w:hAnsi="仿宋_GB2312" w:eastAsia="仿宋_GB2312" w:cs="仿宋_GB2312"/>
                <w:sz w:val="24"/>
                <w:highlight w:val="none"/>
                <w:u w:val="none"/>
              </w:rPr>
              <w:t>比例（%）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170" w:type="pct"/>
            <w:gridSpan w:val="1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167" w:type="pct"/>
            <w:gridSpan w:val="1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192" w:type="pct"/>
            <w:gridSpan w:val="19"/>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restart"/>
            <w:tcBorders>
              <w:top w:val="single" w:color="666666" w:sz="6" w:space="0"/>
              <w:left w:val="single" w:color="666666"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1</w:t>
            </w:r>
            <w:r>
              <w:rPr>
                <w:rFonts w:hint="eastAsia" w:ascii="仿宋_GB2312" w:hAnsi="仿宋_GB2312" w:eastAsia="仿宋_GB2312" w:cs="仿宋_GB2312"/>
                <w:sz w:val="24"/>
                <w:highlight w:val="none"/>
                <w:u w:val="none"/>
                <w:lang w:eastAsia="zh"/>
              </w:rPr>
              <w:t>7</w:t>
            </w:r>
            <w:r>
              <w:rPr>
                <w:rFonts w:hint="eastAsia" w:ascii="仿宋_GB2312" w:hAnsi="仿宋_GB2312" w:eastAsia="仿宋_GB2312" w:cs="仿宋_GB2312"/>
                <w:sz w:val="24"/>
                <w:highlight w:val="none"/>
                <w:u w:val="none"/>
              </w:rPr>
              <w:t>.历史建筑登记建档并挂牌保护情况 </w:t>
            </w:r>
          </w:p>
        </w:tc>
        <w:tc>
          <w:tcPr>
            <w:tcW w:w="1170" w:type="pct"/>
            <w:gridSpan w:val="1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已经登记建档的历史建筑数量（处） </w:t>
            </w:r>
          </w:p>
        </w:tc>
        <w:tc>
          <w:tcPr>
            <w:tcW w:w="1167" w:type="pct"/>
            <w:gridSpan w:val="1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已经挂牌保护的历史建筑数量（处） </w:t>
            </w:r>
          </w:p>
        </w:tc>
        <w:tc>
          <w:tcPr>
            <w:tcW w:w="1192" w:type="pct"/>
            <w:gridSpan w:val="19"/>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已挂牌保护的历史建筑比例（%）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vMerge w:val="continue"/>
            <w:tcBorders>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170" w:type="pct"/>
            <w:gridSpan w:val="1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167" w:type="pct"/>
            <w:gridSpan w:val="1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1192" w:type="pct"/>
            <w:gridSpan w:val="19"/>
            <w:tcBorders>
              <w:top w:val="single" w:color="666666" w:sz="6" w:space="0"/>
              <w:left w:val="single" w:color="666666" w:sz="6" w:space="0"/>
              <w:bottom w:val="inset" w:color="808080" w:sz="6" w:space="0"/>
              <w:right w:val="single" w:color="666666"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rPr>
          <w:wAfter w:w="0" w:type="auto"/>
        </w:trPr>
        <w:tc>
          <w:tcPr>
            <w:tcW w:w="1469" w:type="pct"/>
            <w:gridSpan w:val="4"/>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lang w:eastAsia="zh"/>
              </w:rPr>
              <w:t>18</w:t>
            </w:r>
            <w:r>
              <w:rPr>
                <w:rFonts w:hint="eastAsia" w:ascii="仿宋_GB2312" w:hAnsi="仿宋_GB2312" w:eastAsia="仿宋_GB2312" w:cs="仿宋_GB2312"/>
                <w:sz w:val="24"/>
                <w:highlight w:val="none"/>
                <w:u w:val="none"/>
              </w:rPr>
              <w:t>.建立修复建设公示栏情况 </w:t>
            </w:r>
          </w:p>
        </w:tc>
        <w:tc>
          <w:tcPr>
            <w:tcW w:w="3530" w:type="pct"/>
            <w:gridSpan w:val="52"/>
            <w:tcBorders>
              <w:top w:val="single" w:color="666666"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lang w:eastAsia="zh"/>
              </w:rPr>
              <w:t>19</w:t>
            </w:r>
            <w:r>
              <w:rPr>
                <w:rFonts w:hint="eastAsia" w:ascii="仿宋_GB2312" w:hAnsi="仿宋_GB2312" w:eastAsia="仿宋_GB2312" w:cs="仿宋_GB2312"/>
                <w:sz w:val="24"/>
                <w:highlight w:val="none"/>
                <w:u w:val="none"/>
              </w:rPr>
              <w:t>.保护管理办法的</w:t>
            </w:r>
            <w:r>
              <w:rPr>
                <w:rFonts w:hint="eastAsia" w:ascii="仿宋_GB2312" w:hAnsi="仿宋_GB2312" w:eastAsia="仿宋_GB2312" w:cs="仿宋_GB2312"/>
                <w:sz w:val="24"/>
                <w:highlight w:val="none"/>
                <w:u w:val="none"/>
                <w:lang w:eastAsia="zh-CN"/>
              </w:rPr>
              <w:t>制定</w:t>
            </w:r>
            <w:r>
              <w:rPr>
                <w:rFonts w:hint="eastAsia" w:ascii="仿宋_GB2312" w:hAnsi="仿宋_GB2312" w:eastAsia="仿宋_GB2312" w:cs="仿宋_GB2312"/>
                <w:sz w:val="24"/>
                <w:highlight w:val="none"/>
                <w:u w:val="none"/>
              </w:rPr>
              <w:t>情况 </w:t>
            </w:r>
          </w:p>
        </w:tc>
        <w:tc>
          <w:tcPr>
            <w:tcW w:w="878"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保护管理办法</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名称 </w:t>
            </w:r>
          </w:p>
        </w:tc>
        <w:tc>
          <w:tcPr>
            <w:tcW w:w="875" w:type="pct"/>
            <w:gridSpan w:val="1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874" w:type="pct"/>
            <w:gridSpan w:val="17"/>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批准或公布单位及时间 </w:t>
            </w:r>
          </w:p>
        </w:tc>
        <w:tc>
          <w:tcPr>
            <w:tcW w:w="902" w:type="pct"/>
            <w:gridSpan w:val="10"/>
            <w:tcBorders>
              <w:top w:val="single" w:color="666666"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2</w:t>
            </w:r>
            <w:r>
              <w:rPr>
                <w:rFonts w:hint="eastAsia" w:ascii="仿宋_GB2312" w:hAnsi="仿宋_GB2312" w:eastAsia="仿宋_GB2312" w:cs="仿宋_GB2312"/>
                <w:sz w:val="24"/>
                <w:highlight w:val="none"/>
                <w:u w:val="none"/>
                <w:lang w:eastAsia="zh"/>
              </w:rPr>
              <w:t>0</w:t>
            </w:r>
            <w:r>
              <w:rPr>
                <w:rFonts w:hint="eastAsia" w:ascii="仿宋_GB2312" w:hAnsi="仿宋_GB2312" w:eastAsia="仿宋_GB2312" w:cs="仿宋_GB2312"/>
                <w:sz w:val="24"/>
                <w:highlight w:val="none"/>
                <w:u w:val="none"/>
              </w:rPr>
              <w:t>.保护机构及人员 </w:t>
            </w:r>
          </w:p>
        </w:tc>
        <w:tc>
          <w:tcPr>
            <w:tcW w:w="878" w:type="pct"/>
            <w:gridSpan w:val="9"/>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保护专门机构</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名称 </w:t>
            </w:r>
          </w:p>
        </w:tc>
        <w:tc>
          <w:tcPr>
            <w:tcW w:w="875" w:type="pct"/>
            <w:gridSpan w:val="1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874" w:type="pct"/>
            <w:gridSpan w:val="17"/>
            <w:tcBorders>
              <w:top w:val="single" w:color="666666" w:sz="6" w:space="0"/>
              <w:left w:val="single" w:color="666666" w:sz="6" w:space="0"/>
              <w:bottom w:val="inset" w:color="808080"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保护管理人员数量（人） </w:t>
            </w:r>
          </w:p>
        </w:tc>
        <w:tc>
          <w:tcPr>
            <w:tcW w:w="902" w:type="pct"/>
            <w:gridSpan w:val="10"/>
            <w:tcBorders>
              <w:top w:val="single" w:color="666666"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1469" w:type="pct"/>
            <w:gridSpan w:val="4"/>
            <w:tcBorders>
              <w:top w:val="single" w:color="666666" w:sz="6" w:space="0"/>
              <w:left w:val="single" w:color="666666" w:sz="6" w:space="0"/>
              <w:bottom w:val="single" w:color="666666"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2</w:t>
            </w:r>
            <w:r>
              <w:rPr>
                <w:rFonts w:hint="eastAsia" w:ascii="仿宋_GB2312" w:hAnsi="仿宋_GB2312" w:eastAsia="仿宋_GB2312" w:cs="仿宋_GB2312"/>
                <w:sz w:val="24"/>
                <w:highlight w:val="none"/>
                <w:u w:val="none"/>
                <w:lang w:eastAsia="zh"/>
              </w:rPr>
              <w:t>1</w:t>
            </w:r>
            <w:r>
              <w:rPr>
                <w:rFonts w:hint="eastAsia" w:ascii="仿宋_GB2312" w:hAnsi="仿宋_GB2312" w:eastAsia="仿宋_GB2312" w:cs="仿宋_GB2312"/>
                <w:sz w:val="24"/>
                <w:highlight w:val="none"/>
                <w:u w:val="none"/>
              </w:rPr>
              <w:t>.保护维修资金的情况 </w:t>
            </w:r>
          </w:p>
        </w:tc>
        <w:tc>
          <w:tcPr>
            <w:tcW w:w="821" w:type="pct"/>
            <w:gridSpan w:val="7"/>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近三年镇建设资金总额（万元）</w:t>
            </w:r>
          </w:p>
        </w:tc>
        <w:tc>
          <w:tcPr>
            <w:tcW w:w="382" w:type="pct"/>
            <w:gridSpan w:val="10"/>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84"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年 </w:t>
            </w:r>
          </w:p>
        </w:tc>
        <w:tc>
          <w:tcPr>
            <w:tcW w:w="382" w:type="pct"/>
            <w:gridSpan w:val="7"/>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85" w:type="pct"/>
            <w:gridSpan w:val="6"/>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年 </w:t>
            </w:r>
          </w:p>
        </w:tc>
        <w:tc>
          <w:tcPr>
            <w:tcW w:w="382"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386" w:type="pct"/>
            <w:gridSpan w:val="5"/>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年 </w:t>
            </w:r>
          </w:p>
        </w:tc>
        <w:tc>
          <w:tcPr>
            <w:tcW w:w="404" w:type="pct"/>
            <w:gridSpan w:val="3"/>
            <w:tcBorders>
              <w:top w:val="single" w:color="666666"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731" w:type="pct"/>
            <w:gridSpan w:val="2"/>
            <w:vMerge w:val="restart"/>
            <w:tcBorders>
              <w:top w:val="single" w:color="666666" w:sz="6" w:space="0"/>
              <w:left w:val="single" w:color="auto" w:sz="4" w:space="0"/>
              <w:bottom w:val="single" w:color="666666"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近三年保护维修资金总额（万元） </w:t>
            </w:r>
          </w:p>
        </w:tc>
        <w:tc>
          <w:tcPr>
            <w:tcW w:w="738" w:type="pct"/>
            <w:gridSpan w:val="2"/>
            <w:vMerge w:val="restart"/>
            <w:tcBorders>
              <w:top w:val="single" w:color="666666" w:sz="6" w:space="0"/>
              <w:left w:val="single" w:color="666666" w:sz="6" w:space="0"/>
              <w:bottom w:val="single" w:color="666666"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585" w:type="pct"/>
            <w:gridSpan w:val="4"/>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年 度 </w:t>
            </w:r>
          </w:p>
        </w:tc>
        <w:tc>
          <w:tcPr>
            <w:tcW w:w="585" w:type="pct"/>
            <w:gridSpan w:val="11"/>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基础设施改造及环境整治资金 </w:t>
            </w:r>
          </w:p>
        </w:tc>
        <w:tc>
          <w:tcPr>
            <w:tcW w:w="584" w:type="pct"/>
            <w:gridSpan w:val="11"/>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文物修缮资金 </w:t>
            </w:r>
          </w:p>
        </w:tc>
        <w:tc>
          <w:tcPr>
            <w:tcW w:w="584"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历史建筑修缮资金</w:t>
            </w:r>
          </w:p>
        </w:tc>
        <w:tc>
          <w:tcPr>
            <w:tcW w:w="584" w:type="pct"/>
            <w:gridSpan w:val="12"/>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日常管理</w:t>
            </w:r>
          </w:p>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经费</w:t>
            </w:r>
          </w:p>
        </w:tc>
        <w:tc>
          <w:tcPr>
            <w:tcW w:w="606" w:type="pct"/>
            <w:gridSpan w:val="6"/>
            <w:tcBorders>
              <w:top w:val="single" w:color="666666"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总 额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731" w:type="pct"/>
            <w:gridSpan w:val="2"/>
            <w:vMerge w:val="continue"/>
            <w:tcBorders>
              <w:top w:val="single" w:color="666666" w:sz="6" w:space="0"/>
              <w:left w:val="single" w:color="auto" w:sz="4" w:space="0"/>
              <w:bottom w:val="single" w:color="666666"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738" w:type="pct"/>
            <w:gridSpan w:val="2"/>
            <w:vMerge w:val="continue"/>
            <w:tcBorders>
              <w:top w:val="single" w:color="666666" w:sz="6" w:space="0"/>
              <w:left w:val="single" w:color="666666" w:sz="6" w:space="0"/>
              <w:bottom w:val="single" w:color="666666"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585" w:type="pct"/>
            <w:gridSpan w:val="4"/>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585" w:type="pct"/>
            <w:gridSpan w:val="11"/>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584" w:type="pct"/>
            <w:gridSpan w:val="11"/>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584"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584" w:type="pct"/>
            <w:gridSpan w:val="12"/>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606" w:type="pct"/>
            <w:gridSpan w:val="6"/>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731" w:type="pct"/>
            <w:gridSpan w:val="2"/>
            <w:vMerge w:val="continue"/>
            <w:tcBorders>
              <w:top w:val="single" w:color="666666" w:sz="6" w:space="0"/>
              <w:left w:val="single" w:color="auto" w:sz="4" w:space="0"/>
              <w:bottom w:val="single" w:color="666666"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738" w:type="pct"/>
            <w:gridSpan w:val="2"/>
            <w:vMerge w:val="continue"/>
            <w:tcBorders>
              <w:top w:val="single" w:color="666666" w:sz="6" w:space="0"/>
              <w:left w:val="single" w:color="666666" w:sz="6" w:space="0"/>
              <w:bottom w:val="single" w:color="666666"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585" w:type="pct"/>
            <w:gridSpan w:val="4"/>
            <w:tcBorders>
              <w:top w:val="single" w:color="666666" w:sz="6" w:space="0"/>
              <w:left w:val="nil"/>
              <w:bottom w:val="inset" w:color="808080"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585" w:type="pct"/>
            <w:gridSpan w:val="11"/>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584" w:type="pct"/>
            <w:gridSpan w:val="11"/>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584" w:type="pct"/>
            <w:gridSpan w:val="8"/>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584" w:type="pct"/>
            <w:gridSpan w:val="12"/>
            <w:tcBorders>
              <w:top w:val="single" w:color="666666" w:sz="6" w:space="0"/>
              <w:left w:val="single" w:color="666666" w:sz="6" w:space="0"/>
              <w:bottom w:val="inset" w:color="808080"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606" w:type="pct"/>
            <w:gridSpan w:val="6"/>
            <w:tcBorders>
              <w:top w:val="inset" w:color="808080" w:sz="6" w:space="0"/>
              <w:left w:val="single" w:color="666666" w:sz="6" w:space="0"/>
              <w:bottom w:val="inset" w:color="808080"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r>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0" w:type="dxa"/>
            <w:left w:w="0" w:type="dxa"/>
            <w:bottom w:w="0" w:type="dxa"/>
            <w:right w:w="0" w:type="dxa"/>
          </w:tblCellMar>
        </w:tblPrEx>
        <w:tc>
          <w:tcPr>
            <w:tcW w:w="731" w:type="pct"/>
            <w:gridSpan w:val="2"/>
            <w:vMerge w:val="continue"/>
            <w:tcBorders>
              <w:top w:val="single" w:color="666666" w:sz="6" w:space="0"/>
              <w:left w:val="single" w:color="auto" w:sz="4" w:space="0"/>
              <w:bottom w:val="single" w:color="666666"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738" w:type="pct"/>
            <w:gridSpan w:val="2"/>
            <w:vMerge w:val="continue"/>
            <w:tcBorders>
              <w:top w:val="single" w:color="666666" w:sz="6" w:space="0"/>
              <w:left w:val="single" w:color="666666" w:sz="6" w:space="0"/>
              <w:bottom w:val="single" w:color="666666" w:sz="6" w:space="0"/>
              <w:right w:val="inset" w:color="808080" w:sz="6" w:space="0"/>
            </w:tcBorders>
            <w:vAlign w:val="center"/>
          </w:tcPr>
          <w:p>
            <w:pPr>
              <w:widowControl/>
              <w:spacing w:after="0" w:line="340" w:lineRule="exact"/>
              <w:jc w:val="left"/>
              <w:rPr>
                <w:rFonts w:hint="eastAsia" w:ascii="仿宋_GB2312" w:hAnsi="仿宋_GB2312" w:eastAsia="仿宋_GB2312" w:cs="仿宋_GB2312"/>
                <w:sz w:val="24"/>
                <w:highlight w:val="none"/>
                <w:u w:val="none"/>
              </w:rPr>
            </w:pPr>
          </w:p>
        </w:tc>
        <w:tc>
          <w:tcPr>
            <w:tcW w:w="585" w:type="pct"/>
            <w:gridSpan w:val="4"/>
            <w:tcBorders>
              <w:top w:val="single" w:color="666666" w:sz="6" w:space="0"/>
              <w:left w:val="nil"/>
              <w:bottom w:val="single" w:color="666666" w:sz="6" w:space="0"/>
              <w:right w:val="inset" w:color="808080" w:sz="6" w:space="0"/>
            </w:tcBorders>
            <w:tcMar>
              <w:top w:w="82" w:type="dxa"/>
              <w:left w:w="80"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585" w:type="pct"/>
            <w:gridSpan w:val="11"/>
            <w:tcBorders>
              <w:top w:val="single" w:color="666666" w:sz="6" w:space="0"/>
              <w:left w:val="single" w:color="666666" w:sz="6" w:space="0"/>
              <w:bottom w:val="single" w:color="666666"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584" w:type="pct"/>
            <w:gridSpan w:val="11"/>
            <w:tcBorders>
              <w:top w:val="single" w:color="666666" w:sz="6" w:space="0"/>
              <w:left w:val="single" w:color="666666" w:sz="6" w:space="0"/>
              <w:bottom w:val="single" w:color="666666"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584" w:type="pct"/>
            <w:gridSpan w:val="8"/>
            <w:tcBorders>
              <w:top w:val="single" w:color="666666" w:sz="6" w:space="0"/>
              <w:left w:val="single" w:color="666666" w:sz="6" w:space="0"/>
              <w:bottom w:val="single" w:color="666666"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584" w:type="pct"/>
            <w:gridSpan w:val="12"/>
            <w:tcBorders>
              <w:top w:val="single" w:color="666666" w:sz="6" w:space="0"/>
              <w:left w:val="single" w:color="666666" w:sz="6" w:space="0"/>
              <w:bottom w:val="single" w:color="666666" w:sz="6" w:space="0"/>
              <w:right w:val="inset" w:color="808080" w:sz="6"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c>
          <w:tcPr>
            <w:tcW w:w="606" w:type="pct"/>
            <w:gridSpan w:val="6"/>
            <w:tcBorders>
              <w:top w:val="inset" w:color="808080" w:sz="6" w:space="0"/>
              <w:left w:val="single" w:color="666666" w:sz="6" w:space="0"/>
              <w:bottom w:val="single" w:color="666666" w:sz="6" w:space="0"/>
              <w:right w:val="single" w:color="auto" w:sz="4" w:space="0"/>
            </w:tcBorders>
            <w:tcMar>
              <w:top w:w="82" w:type="dxa"/>
              <w:left w:w="82" w:type="dxa"/>
              <w:bottom w:w="82" w:type="dxa"/>
              <w:right w:w="82" w:type="dxa"/>
            </w:tcMar>
            <w:vAlign w:val="center"/>
          </w:tcPr>
          <w:p>
            <w:pPr>
              <w:widowControl/>
              <w:spacing w:after="0" w:line="340" w:lineRule="exact"/>
              <w:jc w:val="left"/>
              <w:rPr>
                <w:rFonts w:hint="eastAsia" w:ascii="仿宋_GB2312" w:hAnsi="仿宋_GB2312" w:eastAsia="仿宋_GB2312" w:cs="仿宋_GB2312"/>
                <w:sz w:val="24"/>
                <w:highlight w:val="none"/>
                <w:u w:val="none"/>
              </w:rPr>
            </w:pPr>
            <w:r>
              <w:rPr>
                <w:rFonts w:hint="eastAsia" w:ascii="仿宋_GB2312" w:hAnsi="仿宋_GB2312" w:eastAsia="仿宋_GB2312" w:cs="仿宋_GB2312"/>
                <w:sz w:val="24"/>
                <w:highlight w:val="none"/>
                <w:u w:val="none"/>
              </w:rPr>
              <w:t>　</w:t>
            </w:r>
          </w:p>
        </w:tc>
      </w:tr>
    </w:tbl>
    <w:p>
      <w:pPr>
        <w:tabs>
          <w:tab w:val="center" w:pos="4349"/>
          <w:tab w:val="left" w:pos="5960"/>
        </w:tabs>
        <w:adjustRightInd w:val="0"/>
        <w:snapToGrid w:val="0"/>
        <w:spacing w:after="0" w:line="400" w:lineRule="exact"/>
        <w:rPr>
          <w:rFonts w:hint="eastAsia" w:ascii="仿宋_GB2312" w:hAnsi="仿宋_GB2312" w:eastAsia="仿宋_GB2312" w:cs="仿宋_GB2312"/>
          <w:b/>
          <w:sz w:val="24"/>
          <w:highlight w:val="none"/>
          <w:u w:val="none"/>
        </w:rPr>
      </w:pPr>
      <w:r>
        <w:rPr>
          <w:rFonts w:hint="eastAsia" w:ascii="仿宋_GB2312" w:hAnsi="仿宋_GB2312" w:eastAsia="仿宋_GB2312" w:cs="仿宋_GB2312"/>
          <w:b/>
          <w:sz w:val="24"/>
          <w:highlight w:val="none"/>
          <w:u w:val="none"/>
        </w:rPr>
        <w:t>填表说明：</w:t>
      </w:r>
    </w:p>
    <w:p>
      <w:pPr>
        <w:tabs>
          <w:tab w:val="center" w:pos="4349"/>
          <w:tab w:val="left" w:pos="5960"/>
        </w:tabs>
        <w:adjustRightInd w:val="0"/>
        <w:snapToGrid w:val="0"/>
        <w:spacing w:after="0" w:line="400" w:lineRule="exact"/>
        <w:rPr>
          <w:rFonts w:hint="eastAsia" w:ascii="仿宋_GB2312" w:hAnsi="仿宋_GB2312" w:eastAsia="仿宋_GB2312" w:cs="仿宋_GB2312"/>
          <w:bCs/>
          <w:sz w:val="24"/>
          <w:highlight w:val="none"/>
          <w:u w:val="none"/>
        </w:rPr>
      </w:pPr>
      <w:r>
        <w:rPr>
          <w:rFonts w:hint="eastAsia" w:ascii="仿宋_GB2312" w:hAnsi="仿宋_GB2312" w:eastAsia="仿宋_GB2312" w:cs="仿宋_GB2312"/>
          <w:bCs/>
          <w:sz w:val="24"/>
          <w:highlight w:val="none"/>
          <w:u w:val="none"/>
        </w:rPr>
        <w:t>　　1.</w:t>
      </w:r>
      <w:r>
        <w:rPr>
          <w:rFonts w:hint="eastAsia" w:ascii="仿宋_GB2312" w:hAnsi="仿宋_GB2312" w:eastAsia="仿宋_GB2312" w:cs="仿宋_GB2312"/>
          <w:bCs/>
          <w:kern w:val="2"/>
          <w:sz w:val="24"/>
          <w:szCs w:val="24"/>
          <w:highlight w:val="none"/>
          <w:u w:val="none"/>
          <w:lang w:val="en-US" w:eastAsia="zh-CN" w:bidi="ar"/>
        </w:rPr>
        <w:t>历史建筑是经上海市、区人民政府确定公布的具有一定保护价值，能够反映历史风貌和地方特色，未公布为文物保护单位，也未登记为不可移动文物的建筑物、构筑物。历史建筑以院落为单位填报。</w:t>
      </w:r>
    </w:p>
    <w:p>
      <w:pPr>
        <w:tabs>
          <w:tab w:val="center" w:pos="4349"/>
          <w:tab w:val="left" w:pos="5960"/>
        </w:tabs>
        <w:adjustRightInd w:val="0"/>
        <w:snapToGrid w:val="0"/>
        <w:spacing w:after="0" w:line="400" w:lineRule="exact"/>
        <w:rPr>
          <w:rFonts w:hint="eastAsia" w:ascii="仿宋_GB2312" w:hAnsi="仿宋_GB2312" w:eastAsia="仿宋_GB2312" w:cs="仿宋_GB2312"/>
          <w:bCs/>
          <w:sz w:val="24"/>
          <w:highlight w:val="none"/>
          <w:u w:val="none"/>
        </w:rPr>
      </w:pPr>
      <w:r>
        <w:rPr>
          <w:rFonts w:hint="eastAsia" w:ascii="仿宋_GB2312" w:hAnsi="仿宋_GB2312" w:eastAsia="仿宋_GB2312" w:cs="仿宋_GB2312"/>
          <w:bCs/>
          <w:sz w:val="24"/>
          <w:highlight w:val="none"/>
          <w:u w:val="none"/>
        </w:rPr>
        <w:t>　　2.</w:t>
      </w:r>
      <w:r>
        <w:rPr>
          <w:rFonts w:hint="eastAsia" w:ascii="仿宋_GB2312" w:hAnsi="仿宋_GB2312" w:eastAsia="仿宋_GB2312" w:cs="仿宋_GB2312"/>
          <w:bCs/>
          <w:kern w:val="2"/>
          <w:sz w:val="24"/>
          <w:szCs w:val="24"/>
          <w:highlight w:val="none"/>
          <w:u w:val="none"/>
          <w:lang w:val="en-US" w:eastAsia="zh-CN" w:bidi="ar"/>
        </w:rPr>
        <w:t>体现传统特色和典型特征的环境要素是指古园林以及古树名木、古井、古桥、古塔、牌坊、碑刻、围墙、廊棚、驳岸、水埠等。</w:t>
      </w:r>
    </w:p>
    <w:p>
      <w:pPr>
        <w:keepNext w:val="0"/>
        <w:keepLines w:val="0"/>
        <w:widowControl/>
        <w:suppressLineNumbers w:val="0"/>
        <w:tabs>
          <w:tab w:val="center" w:pos="4349"/>
          <w:tab w:val="left" w:pos="5960"/>
        </w:tabs>
        <w:adjustRightInd w:val="0"/>
        <w:snapToGrid w:val="0"/>
        <w:spacing w:before="0" w:beforeAutospacing="0" w:after="0" w:afterAutospacing="0" w:line="400" w:lineRule="exact"/>
        <w:ind w:left="0" w:right="0"/>
        <w:jc w:val="left"/>
        <w:rPr>
          <w:rFonts w:hint="eastAsia" w:ascii="仿宋_GB2312" w:hAnsi="仿宋_GB2312" w:eastAsia="仿宋_GB2312" w:cs="仿宋_GB2312"/>
          <w:bCs/>
          <w:sz w:val="24"/>
          <w:highlight w:val="none"/>
          <w:u w:val="none"/>
        </w:rPr>
      </w:pPr>
      <w:r>
        <w:rPr>
          <w:rFonts w:hint="eastAsia" w:ascii="仿宋_GB2312" w:hAnsi="仿宋_GB2312" w:eastAsia="仿宋_GB2312" w:cs="仿宋_GB2312"/>
          <w:bCs/>
          <w:sz w:val="24"/>
          <w:highlight w:val="none"/>
          <w:u w:val="none"/>
        </w:rPr>
        <w:t>　　3.</w:t>
      </w:r>
      <w:r>
        <w:rPr>
          <w:rFonts w:hint="eastAsia" w:ascii="仿宋_GB2312" w:hAnsi="仿宋_GB2312" w:eastAsia="仿宋_GB2312" w:cs="仿宋_GB2312"/>
          <w:bCs/>
          <w:kern w:val="2"/>
          <w:sz w:val="24"/>
          <w:szCs w:val="24"/>
          <w:highlight w:val="none"/>
          <w:u w:val="none"/>
          <w:lang w:val="en-US" w:eastAsia="zh-CN" w:bidi="ar"/>
        </w:rPr>
        <w:t>保护范围是指为申报</w:t>
      </w:r>
      <w:r>
        <w:rPr>
          <w:rFonts w:hint="eastAsia" w:ascii="仿宋_GB2312" w:hAnsi="仿宋_GB2312" w:eastAsia="仿宋_GB2312" w:cs="仿宋_GB2312"/>
          <w:b w:val="0"/>
          <w:bCs/>
          <w:i w:val="0"/>
          <w:iCs w:val="0"/>
          <w:caps w:val="0"/>
          <w:spacing w:val="0"/>
          <w:kern w:val="2"/>
          <w:sz w:val="24"/>
          <w:szCs w:val="24"/>
          <w:highlight w:val="none"/>
          <w:u w:val="none"/>
          <w:lang w:val="en-US" w:eastAsia="zh-CN" w:bidi="ar"/>
        </w:rPr>
        <w:t>后</w:t>
      </w:r>
      <w:r>
        <w:rPr>
          <w:rFonts w:hint="eastAsia" w:ascii="仿宋_GB2312" w:hAnsi="仿宋_GB2312" w:eastAsia="仿宋_GB2312" w:cs="仿宋_GB2312"/>
          <w:b w:val="0"/>
          <w:bCs/>
          <w:i w:val="0"/>
          <w:iCs w:val="0"/>
          <w:caps w:val="0"/>
          <w:color w:val="0F1115"/>
          <w:spacing w:val="0"/>
          <w:kern w:val="2"/>
          <w:sz w:val="24"/>
          <w:szCs w:val="24"/>
          <w:highlight w:val="none"/>
          <w:u w:val="none"/>
          <w:lang w:val="en-US" w:eastAsia="zh-CN" w:bidi="ar"/>
        </w:rPr>
        <w:t>编制保护规划</w:t>
      </w:r>
      <w:r>
        <w:rPr>
          <w:rFonts w:hint="eastAsia" w:ascii="仿宋_GB2312" w:hAnsi="仿宋_GB2312" w:eastAsia="仿宋_GB2312" w:cs="仿宋_GB2312"/>
          <w:b w:val="0"/>
          <w:bCs/>
          <w:i w:val="0"/>
          <w:iCs w:val="0"/>
          <w:caps w:val="0"/>
          <w:spacing w:val="0"/>
          <w:kern w:val="2"/>
          <w:sz w:val="24"/>
          <w:szCs w:val="24"/>
          <w:highlight w:val="none"/>
          <w:u w:val="none"/>
          <w:lang w:val="en-US" w:eastAsia="zh-CN" w:bidi="ar"/>
        </w:rPr>
        <w:t>先行</w:t>
      </w:r>
      <w:r>
        <w:rPr>
          <w:rFonts w:hint="eastAsia" w:ascii="仿宋_GB2312" w:hAnsi="仿宋_GB2312" w:eastAsia="仿宋_GB2312" w:cs="仿宋_GB2312"/>
          <w:b w:val="0"/>
          <w:bCs/>
          <w:i w:val="0"/>
          <w:iCs w:val="0"/>
          <w:caps w:val="0"/>
          <w:color w:val="0F1115"/>
          <w:spacing w:val="0"/>
          <w:kern w:val="2"/>
          <w:sz w:val="24"/>
          <w:szCs w:val="24"/>
          <w:highlight w:val="none"/>
          <w:u w:val="none"/>
          <w:lang w:val="en-US" w:eastAsia="zh-CN" w:bidi="ar"/>
        </w:rPr>
        <w:t>划定的区域</w:t>
      </w:r>
      <w:r>
        <w:rPr>
          <w:rFonts w:hint="eastAsia" w:ascii="仿宋_GB2312" w:hAnsi="仿宋_GB2312" w:eastAsia="仿宋_GB2312" w:cs="仿宋_GB2312"/>
          <w:b w:val="0"/>
          <w:bCs/>
          <w:i w:val="0"/>
          <w:iCs w:val="0"/>
          <w:caps w:val="0"/>
          <w:spacing w:val="0"/>
          <w:kern w:val="2"/>
          <w:sz w:val="24"/>
          <w:szCs w:val="24"/>
          <w:highlight w:val="none"/>
          <w:u w:val="none"/>
          <w:lang w:val="en-US" w:eastAsia="zh-CN" w:bidi="ar"/>
        </w:rPr>
        <w:t>。该区域范围在规划编制过程中可根据实际情况和专家意见予以调整，最终以经市人民政府批准的保护规划确定的范围为准</w:t>
      </w:r>
      <w:r>
        <w:rPr>
          <w:rFonts w:hint="eastAsia" w:ascii="仿宋_GB2312" w:hAnsi="仿宋_GB2312" w:eastAsia="仿宋_GB2312" w:cs="仿宋_GB2312"/>
          <w:bCs/>
          <w:kern w:val="2"/>
          <w:sz w:val="24"/>
          <w:szCs w:val="24"/>
          <w:highlight w:val="none"/>
          <w:u w:val="none"/>
          <w:lang w:val="en-US" w:eastAsia="zh-CN" w:bidi="ar"/>
        </w:rPr>
        <w:t>。</w:t>
      </w:r>
    </w:p>
    <w:p>
      <w:pPr>
        <w:tabs>
          <w:tab w:val="center" w:pos="4349"/>
          <w:tab w:val="left" w:pos="5960"/>
        </w:tabs>
        <w:adjustRightInd w:val="0"/>
        <w:snapToGrid w:val="0"/>
        <w:spacing w:after="0" w:line="400" w:lineRule="exact"/>
        <w:rPr>
          <w:rFonts w:hint="eastAsia" w:ascii="仿宋_GB2312" w:hAnsi="仿宋_GB2312" w:eastAsia="仿宋_GB2312" w:cs="仿宋_GB2312"/>
          <w:bCs/>
          <w:sz w:val="24"/>
          <w:highlight w:val="none"/>
          <w:u w:val="none"/>
        </w:rPr>
      </w:pPr>
      <w:r>
        <w:rPr>
          <w:rFonts w:hint="eastAsia" w:ascii="仿宋_GB2312" w:hAnsi="仿宋_GB2312" w:eastAsia="仿宋_GB2312" w:cs="仿宋_GB2312"/>
          <w:bCs/>
          <w:sz w:val="24"/>
          <w:highlight w:val="none"/>
          <w:u w:val="none"/>
        </w:rPr>
        <w:t>　　4.表格根据填报内容可自行增加。</w:t>
      </w:r>
    </w:p>
    <w:sectPr>
      <w:footerReference r:id="rId5" w:type="default"/>
      <w:pgSz w:w="11906" w:h="16838"/>
      <w:pgMar w:top="1440" w:right="1800" w:bottom="1440" w:left="1800" w:header="851" w:footer="992"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 w:name="PingFang SC">
    <w:altName w:val="宋体"/>
    <w:panose1 w:val="00000000000000000000"/>
    <w:charset w:val="00"/>
    <w:family w:val="swiss"/>
    <w:pitch w:val="default"/>
    <w:sig w:usb0="00000000" w:usb1="00000000" w:usb2="00000017"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45135" cy="368935"/>
              <wp:effectExtent l="0" t="0" r="0" b="0"/>
              <wp:wrapNone/>
              <wp:docPr id="1" name="文本框 1"/>
              <wp:cNvGraphicFramePr/>
              <a:graphic xmlns:a="http://schemas.openxmlformats.org/drawingml/2006/main">
                <a:graphicData uri="http://schemas.microsoft.com/office/word/2010/wordprocessingShape">
                  <wps:wsp>
                    <wps:cNvSpPr txBox="1"/>
                    <wps:spPr>
                      <a:xfrm>
                        <a:off x="0" y="0"/>
                        <a:ext cx="445135" cy="368935"/>
                      </a:xfrm>
                      <a:prstGeom prst="rect">
                        <a:avLst/>
                      </a:prstGeom>
                      <a:noFill/>
                      <a:ln>
                        <a:noFill/>
                      </a:ln>
                    </wps:spPr>
                    <wps:txbx>
                      <w:txbxContent>
                        <w:p>
                          <w:pPr>
                            <w:pStyle w:val="9"/>
                            <w:jc w:val="cente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29.05pt;width:35.05pt;mso-position-horizontal:center;mso-position-horizontal-relative:margin;mso-wrap-style:none;z-index:251659264;mso-width-relative:page;mso-height-relative:page;" filled="f" stroked="f" coordsize="21600,21600" o:gfxdata="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uGULzQAAAAAwEAAA8AAAAAAAAAAQAg&#10;AAAAOAAAAGRycy9kb3ducmV2LnhtbFBLAQIUABQAAAAIAIdO4kCC2oWrxwEAAIsDAAAOAAAAAAAA&#10;AAEAIAAAADUBAABkcnMvZTJvRG9jLnhtbFBLBQYAAAAABgAGAFkBAABuBQAAAAA=&#10;">
              <v:fill on="f" focussize="0,0"/>
              <v:stroke on="f"/>
              <v:imagedata o:title=""/>
              <o:lock v:ext="edit" aspectratio="f"/>
              <v:textbox inset="0mm,0mm,0mm,0mm" style="mso-fit-shape-to-text:t;">
                <w:txbxContent>
                  <w:p>
                    <w:pPr>
                      <w:pStyle w:val="9"/>
                      <w:jc w:val="cente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txbxContent>
              </v:textbox>
            </v:shape>
          </w:pict>
        </mc:Fallback>
      </mc:AlternateContent>
    </w:r>
  </w:p>
  <w:p>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F6E28A"/>
    <w:multiLevelType w:val="multilevel"/>
    <w:tmpl w:val="7CF6E28A"/>
    <w:lvl w:ilvl="0" w:tentative="0">
      <w:start w:val="1"/>
      <w:numFmt w:val="chineseCounting"/>
      <w:suff w:val="nothing"/>
      <w:lvlText w:val="%1、"/>
      <w:lvlJc w:val="left"/>
      <w:pPr>
        <w:ind w:left="0" w:firstLine="0"/>
      </w:pPr>
      <w:rPr>
        <w:rFonts w:hint="eastAsia" w:ascii="宋体" w:hAnsi="宋体" w:eastAsia="黑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7CF16C1"/>
    <w:rsid w:val="00000061"/>
    <w:rsid w:val="000022DB"/>
    <w:rsid w:val="000151D1"/>
    <w:rsid w:val="00020BB0"/>
    <w:rsid w:val="00021EAF"/>
    <w:rsid w:val="00023FB9"/>
    <w:rsid w:val="00027E64"/>
    <w:rsid w:val="0003490D"/>
    <w:rsid w:val="00034BE7"/>
    <w:rsid w:val="0003627B"/>
    <w:rsid w:val="00045E67"/>
    <w:rsid w:val="0005551B"/>
    <w:rsid w:val="0006234A"/>
    <w:rsid w:val="000627FE"/>
    <w:rsid w:val="00063B53"/>
    <w:rsid w:val="000725F4"/>
    <w:rsid w:val="00084C38"/>
    <w:rsid w:val="00085F83"/>
    <w:rsid w:val="00086357"/>
    <w:rsid w:val="00091D39"/>
    <w:rsid w:val="00097318"/>
    <w:rsid w:val="000A1EDC"/>
    <w:rsid w:val="000A493A"/>
    <w:rsid w:val="000A5F47"/>
    <w:rsid w:val="000B0A75"/>
    <w:rsid w:val="000B3B7E"/>
    <w:rsid w:val="000B4BF7"/>
    <w:rsid w:val="000D042C"/>
    <w:rsid w:val="000E2AA8"/>
    <w:rsid w:val="000E6814"/>
    <w:rsid w:val="000F04FC"/>
    <w:rsid w:val="000F3229"/>
    <w:rsid w:val="000F58CF"/>
    <w:rsid w:val="000F5B3E"/>
    <w:rsid w:val="000F6F6F"/>
    <w:rsid w:val="00100763"/>
    <w:rsid w:val="00101B13"/>
    <w:rsid w:val="00116FED"/>
    <w:rsid w:val="00126D06"/>
    <w:rsid w:val="00126F3E"/>
    <w:rsid w:val="00135608"/>
    <w:rsid w:val="00135D55"/>
    <w:rsid w:val="0015553E"/>
    <w:rsid w:val="00157FB5"/>
    <w:rsid w:val="00160126"/>
    <w:rsid w:val="0016245A"/>
    <w:rsid w:val="0016759E"/>
    <w:rsid w:val="0017000E"/>
    <w:rsid w:val="0017110D"/>
    <w:rsid w:val="00174B2E"/>
    <w:rsid w:val="00180D83"/>
    <w:rsid w:val="00182B9C"/>
    <w:rsid w:val="001860DC"/>
    <w:rsid w:val="00190226"/>
    <w:rsid w:val="00190BF1"/>
    <w:rsid w:val="00191E25"/>
    <w:rsid w:val="00195FEC"/>
    <w:rsid w:val="001A48FF"/>
    <w:rsid w:val="001B2852"/>
    <w:rsid w:val="001B2ED7"/>
    <w:rsid w:val="001C2E08"/>
    <w:rsid w:val="001C4AA0"/>
    <w:rsid w:val="001C5660"/>
    <w:rsid w:val="001D1B02"/>
    <w:rsid w:val="001E0E7E"/>
    <w:rsid w:val="001E7167"/>
    <w:rsid w:val="001F4A7D"/>
    <w:rsid w:val="00205237"/>
    <w:rsid w:val="00205A94"/>
    <w:rsid w:val="00205E82"/>
    <w:rsid w:val="002106EF"/>
    <w:rsid w:val="00211E74"/>
    <w:rsid w:val="002169FC"/>
    <w:rsid w:val="002204A9"/>
    <w:rsid w:val="00230152"/>
    <w:rsid w:val="00231222"/>
    <w:rsid w:val="002357BC"/>
    <w:rsid w:val="00242BC0"/>
    <w:rsid w:val="00244818"/>
    <w:rsid w:val="00245F33"/>
    <w:rsid w:val="00247CF1"/>
    <w:rsid w:val="00262205"/>
    <w:rsid w:val="0026267D"/>
    <w:rsid w:val="00263962"/>
    <w:rsid w:val="002666D2"/>
    <w:rsid w:val="00267AAE"/>
    <w:rsid w:val="0027758E"/>
    <w:rsid w:val="002777F1"/>
    <w:rsid w:val="00277EE4"/>
    <w:rsid w:val="002807E2"/>
    <w:rsid w:val="00281F88"/>
    <w:rsid w:val="002864A5"/>
    <w:rsid w:val="0029402A"/>
    <w:rsid w:val="00295B15"/>
    <w:rsid w:val="0029631F"/>
    <w:rsid w:val="00297537"/>
    <w:rsid w:val="002A6C01"/>
    <w:rsid w:val="002B678C"/>
    <w:rsid w:val="002B7944"/>
    <w:rsid w:val="002D6590"/>
    <w:rsid w:val="002E18AC"/>
    <w:rsid w:val="002E1965"/>
    <w:rsid w:val="002E55B6"/>
    <w:rsid w:val="002F0A89"/>
    <w:rsid w:val="002F7C49"/>
    <w:rsid w:val="00300D83"/>
    <w:rsid w:val="003016CD"/>
    <w:rsid w:val="00303E8C"/>
    <w:rsid w:val="00310F62"/>
    <w:rsid w:val="0031587E"/>
    <w:rsid w:val="00316FF4"/>
    <w:rsid w:val="0031708B"/>
    <w:rsid w:val="00323D23"/>
    <w:rsid w:val="00335E73"/>
    <w:rsid w:val="00342DE5"/>
    <w:rsid w:val="0034302A"/>
    <w:rsid w:val="00345B76"/>
    <w:rsid w:val="003475F6"/>
    <w:rsid w:val="0035168A"/>
    <w:rsid w:val="00352F21"/>
    <w:rsid w:val="003538ED"/>
    <w:rsid w:val="00354745"/>
    <w:rsid w:val="0037163C"/>
    <w:rsid w:val="00376030"/>
    <w:rsid w:val="00383F79"/>
    <w:rsid w:val="00386EB1"/>
    <w:rsid w:val="003915C4"/>
    <w:rsid w:val="00393455"/>
    <w:rsid w:val="00396478"/>
    <w:rsid w:val="0039762B"/>
    <w:rsid w:val="003A1E19"/>
    <w:rsid w:val="003A2448"/>
    <w:rsid w:val="003A7608"/>
    <w:rsid w:val="003B0FA6"/>
    <w:rsid w:val="003B0FC9"/>
    <w:rsid w:val="003B3284"/>
    <w:rsid w:val="003B56E4"/>
    <w:rsid w:val="003B7652"/>
    <w:rsid w:val="003C0509"/>
    <w:rsid w:val="003C0FF4"/>
    <w:rsid w:val="003C3A56"/>
    <w:rsid w:val="003C45A1"/>
    <w:rsid w:val="003D0499"/>
    <w:rsid w:val="003D18D0"/>
    <w:rsid w:val="003D30B3"/>
    <w:rsid w:val="003D704C"/>
    <w:rsid w:val="003E187F"/>
    <w:rsid w:val="003E4A53"/>
    <w:rsid w:val="003E5227"/>
    <w:rsid w:val="003E653C"/>
    <w:rsid w:val="003E658C"/>
    <w:rsid w:val="003F24A7"/>
    <w:rsid w:val="003F41EF"/>
    <w:rsid w:val="004105D7"/>
    <w:rsid w:val="0042000B"/>
    <w:rsid w:val="00421335"/>
    <w:rsid w:val="00425F04"/>
    <w:rsid w:val="00430028"/>
    <w:rsid w:val="00432D51"/>
    <w:rsid w:val="00433C9B"/>
    <w:rsid w:val="00434AB1"/>
    <w:rsid w:val="00435872"/>
    <w:rsid w:val="00451626"/>
    <w:rsid w:val="0045550A"/>
    <w:rsid w:val="00456854"/>
    <w:rsid w:val="00457A44"/>
    <w:rsid w:val="004601BA"/>
    <w:rsid w:val="004732A5"/>
    <w:rsid w:val="00476F8C"/>
    <w:rsid w:val="00482CFB"/>
    <w:rsid w:val="0048425A"/>
    <w:rsid w:val="004879B6"/>
    <w:rsid w:val="004960AD"/>
    <w:rsid w:val="004A2AF8"/>
    <w:rsid w:val="004A30A0"/>
    <w:rsid w:val="004B0299"/>
    <w:rsid w:val="004B07CC"/>
    <w:rsid w:val="004B0A82"/>
    <w:rsid w:val="004B0B51"/>
    <w:rsid w:val="004B27D0"/>
    <w:rsid w:val="004B378C"/>
    <w:rsid w:val="004B4263"/>
    <w:rsid w:val="004B5D47"/>
    <w:rsid w:val="004C50D2"/>
    <w:rsid w:val="004C51D4"/>
    <w:rsid w:val="004D1FD6"/>
    <w:rsid w:val="004D3D28"/>
    <w:rsid w:val="004E42FA"/>
    <w:rsid w:val="00500027"/>
    <w:rsid w:val="005157AF"/>
    <w:rsid w:val="00516EC2"/>
    <w:rsid w:val="0051777E"/>
    <w:rsid w:val="00522150"/>
    <w:rsid w:val="005233FB"/>
    <w:rsid w:val="0052670B"/>
    <w:rsid w:val="00531E4F"/>
    <w:rsid w:val="00532826"/>
    <w:rsid w:val="00532D7C"/>
    <w:rsid w:val="00534546"/>
    <w:rsid w:val="00535B31"/>
    <w:rsid w:val="005475CF"/>
    <w:rsid w:val="00551EF3"/>
    <w:rsid w:val="0055380A"/>
    <w:rsid w:val="005613DA"/>
    <w:rsid w:val="00565B47"/>
    <w:rsid w:val="00567080"/>
    <w:rsid w:val="00570CA4"/>
    <w:rsid w:val="00571BC1"/>
    <w:rsid w:val="00572EC3"/>
    <w:rsid w:val="00576C2D"/>
    <w:rsid w:val="0058048F"/>
    <w:rsid w:val="005918ED"/>
    <w:rsid w:val="005A7E05"/>
    <w:rsid w:val="005B5488"/>
    <w:rsid w:val="005C1349"/>
    <w:rsid w:val="005C1E8D"/>
    <w:rsid w:val="005C3B1E"/>
    <w:rsid w:val="005C57C8"/>
    <w:rsid w:val="005C71E3"/>
    <w:rsid w:val="005D6398"/>
    <w:rsid w:val="005E450B"/>
    <w:rsid w:val="005E46CB"/>
    <w:rsid w:val="005E4829"/>
    <w:rsid w:val="005F4FA1"/>
    <w:rsid w:val="005F5C81"/>
    <w:rsid w:val="006006EB"/>
    <w:rsid w:val="0060512D"/>
    <w:rsid w:val="006052E7"/>
    <w:rsid w:val="00616D9E"/>
    <w:rsid w:val="00622C27"/>
    <w:rsid w:val="0062438B"/>
    <w:rsid w:val="0062752C"/>
    <w:rsid w:val="0063197E"/>
    <w:rsid w:val="00637078"/>
    <w:rsid w:val="006451DE"/>
    <w:rsid w:val="0065572F"/>
    <w:rsid w:val="006648C6"/>
    <w:rsid w:val="00673703"/>
    <w:rsid w:val="006737B6"/>
    <w:rsid w:val="00675F9A"/>
    <w:rsid w:val="006835F7"/>
    <w:rsid w:val="00683FA2"/>
    <w:rsid w:val="00685AF9"/>
    <w:rsid w:val="00685DF0"/>
    <w:rsid w:val="006A1DAB"/>
    <w:rsid w:val="006A483B"/>
    <w:rsid w:val="006A5E21"/>
    <w:rsid w:val="006A7327"/>
    <w:rsid w:val="006B0630"/>
    <w:rsid w:val="006B498D"/>
    <w:rsid w:val="006B6885"/>
    <w:rsid w:val="006B74BA"/>
    <w:rsid w:val="006C2349"/>
    <w:rsid w:val="006D54F5"/>
    <w:rsid w:val="006E0993"/>
    <w:rsid w:val="006F2539"/>
    <w:rsid w:val="006F6BBE"/>
    <w:rsid w:val="006F79A5"/>
    <w:rsid w:val="00704AF9"/>
    <w:rsid w:val="00706AEB"/>
    <w:rsid w:val="007077FC"/>
    <w:rsid w:val="00707BF2"/>
    <w:rsid w:val="00712931"/>
    <w:rsid w:val="00715442"/>
    <w:rsid w:val="00716CCF"/>
    <w:rsid w:val="00717936"/>
    <w:rsid w:val="00722989"/>
    <w:rsid w:val="00723400"/>
    <w:rsid w:val="00723F13"/>
    <w:rsid w:val="007304EE"/>
    <w:rsid w:val="00741E22"/>
    <w:rsid w:val="00741F96"/>
    <w:rsid w:val="00747491"/>
    <w:rsid w:val="007543AD"/>
    <w:rsid w:val="00755F84"/>
    <w:rsid w:val="00763D90"/>
    <w:rsid w:val="00773146"/>
    <w:rsid w:val="00774669"/>
    <w:rsid w:val="0078299B"/>
    <w:rsid w:val="00784A2A"/>
    <w:rsid w:val="00790736"/>
    <w:rsid w:val="007A2A11"/>
    <w:rsid w:val="007A3894"/>
    <w:rsid w:val="007C11AA"/>
    <w:rsid w:val="007C1D57"/>
    <w:rsid w:val="007C49B8"/>
    <w:rsid w:val="007C7982"/>
    <w:rsid w:val="007D243B"/>
    <w:rsid w:val="007D5294"/>
    <w:rsid w:val="007D7AAD"/>
    <w:rsid w:val="007E2E72"/>
    <w:rsid w:val="007F0223"/>
    <w:rsid w:val="007F3CA7"/>
    <w:rsid w:val="007F47BE"/>
    <w:rsid w:val="00802461"/>
    <w:rsid w:val="00803205"/>
    <w:rsid w:val="00803964"/>
    <w:rsid w:val="00807FB0"/>
    <w:rsid w:val="0081324A"/>
    <w:rsid w:val="00813831"/>
    <w:rsid w:val="00814E8F"/>
    <w:rsid w:val="0081502C"/>
    <w:rsid w:val="008231DD"/>
    <w:rsid w:val="00825F22"/>
    <w:rsid w:val="00825F50"/>
    <w:rsid w:val="008357BF"/>
    <w:rsid w:val="00836D89"/>
    <w:rsid w:val="00841164"/>
    <w:rsid w:val="00845345"/>
    <w:rsid w:val="00845372"/>
    <w:rsid w:val="00850F9D"/>
    <w:rsid w:val="008519C0"/>
    <w:rsid w:val="008530A3"/>
    <w:rsid w:val="00876A75"/>
    <w:rsid w:val="00877FF6"/>
    <w:rsid w:val="0088041B"/>
    <w:rsid w:val="00881352"/>
    <w:rsid w:val="00881778"/>
    <w:rsid w:val="00881FCB"/>
    <w:rsid w:val="00885ECF"/>
    <w:rsid w:val="00890575"/>
    <w:rsid w:val="008A2DD7"/>
    <w:rsid w:val="008A2F29"/>
    <w:rsid w:val="008A5CD5"/>
    <w:rsid w:val="008B0A55"/>
    <w:rsid w:val="008B2B20"/>
    <w:rsid w:val="008B42F4"/>
    <w:rsid w:val="008B6710"/>
    <w:rsid w:val="008C1428"/>
    <w:rsid w:val="008C1E52"/>
    <w:rsid w:val="008C2E0E"/>
    <w:rsid w:val="008D3218"/>
    <w:rsid w:val="008E1120"/>
    <w:rsid w:val="008E3783"/>
    <w:rsid w:val="008E6B33"/>
    <w:rsid w:val="008F0BEE"/>
    <w:rsid w:val="00904E06"/>
    <w:rsid w:val="009141DF"/>
    <w:rsid w:val="00916FA6"/>
    <w:rsid w:val="009211E3"/>
    <w:rsid w:val="00924A52"/>
    <w:rsid w:val="00927FB6"/>
    <w:rsid w:val="00931B2B"/>
    <w:rsid w:val="009403DD"/>
    <w:rsid w:val="009444C1"/>
    <w:rsid w:val="009516D4"/>
    <w:rsid w:val="009548DF"/>
    <w:rsid w:val="00960D2C"/>
    <w:rsid w:val="00963803"/>
    <w:rsid w:val="00966DFD"/>
    <w:rsid w:val="00972D87"/>
    <w:rsid w:val="0098515F"/>
    <w:rsid w:val="00987D84"/>
    <w:rsid w:val="0099249E"/>
    <w:rsid w:val="00994079"/>
    <w:rsid w:val="009A4872"/>
    <w:rsid w:val="009B2720"/>
    <w:rsid w:val="009B5E35"/>
    <w:rsid w:val="009C0861"/>
    <w:rsid w:val="009C6524"/>
    <w:rsid w:val="009D069A"/>
    <w:rsid w:val="009D0B43"/>
    <w:rsid w:val="009D1D79"/>
    <w:rsid w:val="009D2DC2"/>
    <w:rsid w:val="009D5FD0"/>
    <w:rsid w:val="009E0734"/>
    <w:rsid w:val="009E081B"/>
    <w:rsid w:val="009E6182"/>
    <w:rsid w:val="00A03AE9"/>
    <w:rsid w:val="00A0559B"/>
    <w:rsid w:val="00A11CF9"/>
    <w:rsid w:val="00A11E1D"/>
    <w:rsid w:val="00A16566"/>
    <w:rsid w:val="00A25881"/>
    <w:rsid w:val="00A27E3F"/>
    <w:rsid w:val="00A32F37"/>
    <w:rsid w:val="00A4098C"/>
    <w:rsid w:val="00A430A3"/>
    <w:rsid w:val="00A43601"/>
    <w:rsid w:val="00A44E49"/>
    <w:rsid w:val="00A6180E"/>
    <w:rsid w:val="00A619E4"/>
    <w:rsid w:val="00A71A73"/>
    <w:rsid w:val="00A77DC3"/>
    <w:rsid w:val="00A830F6"/>
    <w:rsid w:val="00A84ACD"/>
    <w:rsid w:val="00A8619A"/>
    <w:rsid w:val="00A965E4"/>
    <w:rsid w:val="00A971A8"/>
    <w:rsid w:val="00A975F1"/>
    <w:rsid w:val="00A97673"/>
    <w:rsid w:val="00AA4381"/>
    <w:rsid w:val="00AA454D"/>
    <w:rsid w:val="00AB16C2"/>
    <w:rsid w:val="00AB2668"/>
    <w:rsid w:val="00AB6569"/>
    <w:rsid w:val="00AC79A1"/>
    <w:rsid w:val="00AD405B"/>
    <w:rsid w:val="00AE4DE7"/>
    <w:rsid w:val="00AF4C2B"/>
    <w:rsid w:val="00B14865"/>
    <w:rsid w:val="00B22AF5"/>
    <w:rsid w:val="00B25679"/>
    <w:rsid w:val="00B2688B"/>
    <w:rsid w:val="00B31684"/>
    <w:rsid w:val="00B36691"/>
    <w:rsid w:val="00B45143"/>
    <w:rsid w:val="00B50C2E"/>
    <w:rsid w:val="00B51E52"/>
    <w:rsid w:val="00B67158"/>
    <w:rsid w:val="00B741B0"/>
    <w:rsid w:val="00B81903"/>
    <w:rsid w:val="00B81BC0"/>
    <w:rsid w:val="00B8482B"/>
    <w:rsid w:val="00B850A6"/>
    <w:rsid w:val="00B85E6F"/>
    <w:rsid w:val="00B867C9"/>
    <w:rsid w:val="00BA1902"/>
    <w:rsid w:val="00BA30BB"/>
    <w:rsid w:val="00BA593B"/>
    <w:rsid w:val="00BB4801"/>
    <w:rsid w:val="00BC0A06"/>
    <w:rsid w:val="00BC7972"/>
    <w:rsid w:val="00BE2EAF"/>
    <w:rsid w:val="00BE4C8A"/>
    <w:rsid w:val="00BE76AE"/>
    <w:rsid w:val="00BF1626"/>
    <w:rsid w:val="00BF7C4C"/>
    <w:rsid w:val="00C0047B"/>
    <w:rsid w:val="00C10660"/>
    <w:rsid w:val="00C23440"/>
    <w:rsid w:val="00C3530D"/>
    <w:rsid w:val="00C4080C"/>
    <w:rsid w:val="00C41888"/>
    <w:rsid w:val="00C43E5C"/>
    <w:rsid w:val="00C44B31"/>
    <w:rsid w:val="00C45C2E"/>
    <w:rsid w:val="00C46AA0"/>
    <w:rsid w:val="00C539B9"/>
    <w:rsid w:val="00C65EBE"/>
    <w:rsid w:val="00C66E0C"/>
    <w:rsid w:val="00C70A4D"/>
    <w:rsid w:val="00C71439"/>
    <w:rsid w:val="00C718F6"/>
    <w:rsid w:val="00C720D7"/>
    <w:rsid w:val="00C73A12"/>
    <w:rsid w:val="00C757FB"/>
    <w:rsid w:val="00C87AAF"/>
    <w:rsid w:val="00C87D91"/>
    <w:rsid w:val="00C91143"/>
    <w:rsid w:val="00C9574D"/>
    <w:rsid w:val="00CA2AAB"/>
    <w:rsid w:val="00CB654F"/>
    <w:rsid w:val="00CB693F"/>
    <w:rsid w:val="00CD3839"/>
    <w:rsid w:val="00CD4628"/>
    <w:rsid w:val="00CD7682"/>
    <w:rsid w:val="00CD76E6"/>
    <w:rsid w:val="00CE114D"/>
    <w:rsid w:val="00CE2FED"/>
    <w:rsid w:val="00CE7283"/>
    <w:rsid w:val="00CF2728"/>
    <w:rsid w:val="00D0078C"/>
    <w:rsid w:val="00D02FA1"/>
    <w:rsid w:val="00D03D08"/>
    <w:rsid w:val="00D05A88"/>
    <w:rsid w:val="00D225EC"/>
    <w:rsid w:val="00D229B0"/>
    <w:rsid w:val="00D2414F"/>
    <w:rsid w:val="00D332A5"/>
    <w:rsid w:val="00D43F4F"/>
    <w:rsid w:val="00D4571B"/>
    <w:rsid w:val="00D47347"/>
    <w:rsid w:val="00D538A9"/>
    <w:rsid w:val="00D55A76"/>
    <w:rsid w:val="00D562B6"/>
    <w:rsid w:val="00D648AE"/>
    <w:rsid w:val="00D66AA2"/>
    <w:rsid w:val="00D70BF4"/>
    <w:rsid w:val="00D83157"/>
    <w:rsid w:val="00D857C0"/>
    <w:rsid w:val="00D87DA9"/>
    <w:rsid w:val="00D92C86"/>
    <w:rsid w:val="00DA1F04"/>
    <w:rsid w:val="00DA2ED8"/>
    <w:rsid w:val="00DA5D24"/>
    <w:rsid w:val="00DB40AD"/>
    <w:rsid w:val="00DB681F"/>
    <w:rsid w:val="00DB7417"/>
    <w:rsid w:val="00DC47F8"/>
    <w:rsid w:val="00DC6270"/>
    <w:rsid w:val="00DC6DE3"/>
    <w:rsid w:val="00DC7DD3"/>
    <w:rsid w:val="00DD098B"/>
    <w:rsid w:val="00DD1037"/>
    <w:rsid w:val="00DD1834"/>
    <w:rsid w:val="00DD5287"/>
    <w:rsid w:val="00DD73A5"/>
    <w:rsid w:val="00DD7912"/>
    <w:rsid w:val="00DE79EB"/>
    <w:rsid w:val="00DF1E4A"/>
    <w:rsid w:val="00DF48EE"/>
    <w:rsid w:val="00E1276C"/>
    <w:rsid w:val="00E16DEB"/>
    <w:rsid w:val="00E24696"/>
    <w:rsid w:val="00E34CC5"/>
    <w:rsid w:val="00E3681F"/>
    <w:rsid w:val="00E419CA"/>
    <w:rsid w:val="00E42C9F"/>
    <w:rsid w:val="00E47516"/>
    <w:rsid w:val="00E5066A"/>
    <w:rsid w:val="00E51469"/>
    <w:rsid w:val="00E522EC"/>
    <w:rsid w:val="00E5330F"/>
    <w:rsid w:val="00E548F0"/>
    <w:rsid w:val="00E56315"/>
    <w:rsid w:val="00E64EE1"/>
    <w:rsid w:val="00E803CC"/>
    <w:rsid w:val="00E83332"/>
    <w:rsid w:val="00E84082"/>
    <w:rsid w:val="00E861AA"/>
    <w:rsid w:val="00E944CF"/>
    <w:rsid w:val="00E94CFB"/>
    <w:rsid w:val="00EA0662"/>
    <w:rsid w:val="00EA2B04"/>
    <w:rsid w:val="00EA4E09"/>
    <w:rsid w:val="00EB1847"/>
    <w:rsid w:val="00EB2E52"/>
    <w:rsid w:val="00EB53EA"/>
    <w:rsid w:val="00EB6D67"/>
    <w:rsid w:val="00EB6D7D"/>
    <w:rsid w:val="00EB7085"/>
    <w:rsid w:val="00ED196B"/>
    <w:rsid w:val="00EE1C6F"/>
    <w:rsid w:val="00EE55E6"/>
    <w:rsid w:val="00EF1B8E"/>
    <w:rsid w:val="00F02650"/>
    <w:rsid w:val="00F04A5F"/>
    <w:rsid w:val="00F05D64"/>
    <w:rsid w:val="00F11691"/>
    <w:rsid w:val="00F12A3D"/>
    <w:rsid w:val="00F15982"/>
    <w:rsid w:val="00F17C62"/>
    <w:rsid w:val="00F20A2B"/>
    <w:rsid w:val="00F21D8A"/>
    <w:rsid w:val="00F23F46"/>
    <w:rsid w:val="00F2602C"/>
    <w:rsid w:val="00F326E1"/>
    <w:rsid w:val="00F37928"/>
    <w:rsid w:val="00F4742B"/>
    <w:rsid w:val="00F477DA"/>
    <w:rsid w:val="00F52D55"/>
    <w:rsid w:val="00F5540F"/>
    <w:rsid w:val="00F575DA"/>
    <w:rsid w:val="00F60EB9"/>
    <w:rsid w:val="00F62566"/>
    <w:rsid w:val="00F6256F"/>
    <w:rsid w:val="00F62684"/>
    <w:rsid w:val="00F71036"/>
    <w:rsid w:val="00F73A3F"/>
    <w:rsid w:val="00F771D6"/>
    <w:rsid w:val="00F82B1C"/>
    <w:rsid w:val="00F831A1"/>
    <w:rsid w:val="00F945DA"/>
    <w:rsid w:val="00F94D9B"/>
    <w:rsid w:val="00F95E6B"/>
    <w:rsid w:val="00FA3752"/>
    <w:rsid w:val="00FB575B"/>
    <w:rsid w:val="00FC0DCE"/>
    <w:rsid w:val="00FC2A70"/>
    <w:rsid w:val="00FC7F9C"/>
    <w:rsid w:val="00FD1420"/>
    <w:rsid w:val="00FD29C6"/>
    <w:rsid w:val="00FD50E1"/>
    <w:rsid w:val="00FE13A3"/>
    <w:rsid w:val="00FE1A9F"/>
    <w:rsid w:val="00FE478F"/>
    <w:rsid w:val="00FE76AA"/>
    <w:rsid w:val="00FF2CCF"/>
    <w:rsid w:val="00FF4F0F"/>
    <w:rsid w:val="047538C1"/>
    <w:rsid w:val="078A4200"/>
    <w:rsid w:val="0BA0327A"/>
    <w:rsid w:val="0DE836EA"/>
    <w:rsid w:val="0E9E3A02"/>
    <w:rsid w:val="0FBFC9F8"/>
    <w:rsid w:val="11941CE1"/>
    <w:rsid w:val="15F454B6"/>
    <w:rsid w:val="1FDF81D6"/>
    <w:rsid w:val="1FFE748C"/>
    <w:rsid w:val="21276F23"/>
    <w:rsid w:val="227A13AC"/>
    <w:rsid w:val="22891168"/>
    <w:rsid w:val="26FE414E"/>
    <w:rsid w:val="27AFC82D"/>
    <w:rsid w:val="28317B70"/>
    <w:rsid w:val="286C44F3"/>
    <w:rsid w:val="299832F8"/>
    <w:rsid w:val="2F7B818D"/>
    <w:rsid w:val="2F9DCACB"/>
    <w:rsid w:val="2FFF495E"/>
    <w:rsid w:val="335F62AA"/>
    <w:rsid w:val="33BA4F3B"/>
    <w:rsid w:val="369D4E4F"/>
    <w:rsid w:val="37FD1FAD"/>
    <w:rsid w:val="387F2624"/>
    <w:rsid w:val="38C647B0"/>
    <w:rsid w:val="39DA22CF"/>
    <w:rsid w:val="3AB06066"/>
    <w:rsid w:val="3AE27603"/>
    <w:rsid w:val="3BF914B3"/>
    <w:rsid w:val="3BFE8C19"/>
    <w:rsid w:val="3CB7A099"/>
    <w:rsid w:val="3D79EBEB"/>
    <w:rsid w:val="3DFB00C4"/>
    <w:rsid w:val="3DFF1523"/>
    <w:rsid w:val="3E1B7BDC"/>
    <w:rsid w:val="3E35C6A0"/>
    <w:rsid w:val="3E3D2E2A"/>
    <w:rsid w:val="3E9FBAAD"/>
    <w:rsid w:val="3EBB7452"/>
    <w:rsid w:val="3EFD235D"/>
    <w:rsid w:val="3F5B7CE6"/>
    <w:rsid w:val="3F62483B"/>
    <w:rsid w:val="3F6EAFE2"/>
    <w:rsid w:val="3F7B8B7E"/>
    <w:rsid w:val="3F7F2DAB"/>
    <w:rsid w:val="3FAD0CFF"/>
    <w:rsid w:val="3FBD1606"/>
    <w:rsid w:val="3FBD75C1"/>
    <w:rsid w:val="3FCF85EF"/>
    <w:rsid w:val="3FD4A63E"/>
    <w:rsid w:val="3FDFB1B2"/>
    <w:rsid w:val="3FED5C45"/>
    <w:rsid w:val="3FFB6F6B"/>
    <w:rsid w:val="41807A0E"/>
    <w:rsid w:val="42DF5BE3"/>
    <w:rsid w:val="445F3A72"/>
    <w:rsid w:val="46E92F53"/>
    <w:rsid w:val="49027089"/>
    <w:rsid w:val="4EB34A29"/>
    <w:rsid w:val="4FF226C7"/>
    <w:rsid w:val="51EE1A15"/>
    <w:rsid w:val="5307480C"/>
    <w:rsid w:val="54607D14"/>
    <w:rsid w:val="56583820"/>
    <w:rsid w:val="5773F4A6"/>
    <w:rsid w:val="577BD7A5"/>
    <w:rsid w:val="57AAEF1B"/>
    <w:rsid w:val="57F519F2"/>
    <w:rsid w:val="59BDEE13"/>
    <w:rsid w:val="5A266F08"/>
    <w:rsid w:val="5A5D21B7"/>
    <w:rsid w:val="5A67295D"/>
    <w:rsid w:val="5ABF6B7D"/>
    <w:rsid w:val="5AFF1D34"/>
    <w:rsid w:val="5B707D62"/>
    <w:rsid w:val="5B7DB2DE"/>
    <w:rsid w:val="5BF7F73B"/>
    <w:rsid w:val="5C392D6E"/>
    <w:rsid w:val="5CDB65D2"/>
    <w:rsid w:val="5EB26EC8"/>
    <w:rsid w:val="5EDB1466"/>
    <w:rsid w:val="5EEFF819"/>
    <w:rsid w:val="5F370D25"/>
    <w:rsid w:val="5FEB8426"/>
    <w:rsid w:val="5FEFC7B6"/>
    <w:rsid w:val="5FF72023"/>
    <w:rsid w:val="627A6832"/>
    <w:rsid w:val="62A3508F"/>
    <w:rsid w:val="65CFDEAF"/>
    <w:rsid w:val="66DB7142"/>
    <w:rsid w:val="67779FC8"/>
    <w:rsid w:val="678D0E1B"/>
    <w:rsid w:val="67F998F1"/>
    <w:rsid w:val="6AF5C981"/>
    <w:rsid w:val="6B5F5A79"/>
    <w:rsid w:val="6B6AB7A0"/>
    <w:rsid w:val="6BFFE138"/>
    <w:rsid w:val="6C6DF721"/>
    <w:rsid w:val="6CFF1DB6"/>
    <w:rsid w:val="6D5D78A8"/>
    <w:rsid w:val="6E9BAC47"/>
    <w:rsid w:val="6EEC796B"/>
    <w:rsid w:val="6EFF70F4"/>
    <w:rsid w:val="6EFFEA8A"/>
    <w:rsid w:val="6F1BEB03"/>
    <w:rsid w:val="6F7F16C8"/>
    <w:rsid w:val="6F7F6C2D"/>
    <w:rsid w:val="6F7FF5FF"/>
    <w:rsid w:val="6FA7862C"/>
    <w:rsid w:val="6FE6CEE7"/>
    <w:rsid w:val="6FEED1D8"/>
    <w:rsid w:val="6FF6D863"/>
    <w:rsid w:val="6FFD23BF"/>
    <w:rsid w:val="6FFDD09F"/>
    <w:rsid w:val="70DCB96A"/>
    <w:rsid w:val="71372EBC"/>
    <w:rsid w:val="71AB1993"/>
    <w:rsid w:val="71D80F5F"/>
    <w:rsid w:val="71EFBD0A"/>
    <w:rsid w:val="72072820"/>
    <w:rsid w:val="727AA2CD"/>
    <w:rsid w:val="72EA2C16"/>
    <w:rsid w:val="73CE07AB"/>
    <w:rsid w:val="73FA031A"/>
    <w:rsid w:val="74872EAA"/>
    <w:rsid w:val="75AFF54A"/>
    <w:rsid w:val="75FD6913"/>
    <w:rsid w:val="75FD83B8"/>
    <w:rsid w:val="75FF3D40"/>
    <w:rsid w:val="77B7950C"/>
    <w:rsid w:val="79399EFB"/>
    <w:rsid w:val="79DFAF8F"/>
    <w:rsid w:val="79FECB70"/>
    <w:rsid w:val="7AAE6DE4"/>
    <w:rsid w:val="7AFF49E6"/>
    <w:rsid w:val="7B5F05D5"/>
    <w:rsid w:val="7B7DA035"/>
    <w:rsid w:val="7BDC6B90"/>
    <w:rsid w:val="7BDF22E4"/>
    <w:rsid w:val="7BDFF2DF"/>
    <w:rsid w:val="7BEF6A08"/>
    <w:rsid w:val="7CFF47FB"/>
    <w:rsid w:val="7D5BBC35"/>
    <w:rsid w:val="7D9DB0E4"/>
    <w:rsid w:val="7DBE40E7"/>
    <w:rsid w:val="7DD9C409"/>
    <w:rsid w:val="7DEFA62D"/>
    <w:rsid w:val="7DFF4CF5"/>
    <w:rsid w:val="7E4BF4C0"/>
    <w:rsid w:val="7EE474FA"/>
    <w:rsid w:val="7EF7E776"/>
    <w:rsid w:val="7F1D6EEB"/>
    <w:rsid w:val="7F374D87"/>
    <w:rsid w:val="7F49259F"/>
    <w:rsid w:val="7F4EF813"/>
    <w:rsid w:val="7F4F9215"/>
    <w:rsid w:val="7FAF1265"/>
    <w:rsid w:val="7FAFA810"/>
    <w:rsid w:val="7FB7B9F8"/>
    <w:rsid w:val="7FBA2828"/>
    <w:rsid w:val="7FDF9347"/>
    <w:rsid w:val="7FEFD543"/>
    <w:rsid w:val="7FF31B65"/>
    <w:rsid w:val="7FF63A49"/>
    <w:rsid w:val="7FF9879C"/>
    <w:rsid w:val="7FFB3758"/>
    <w:rsid w:val="7FFF203C"/>
    <w:rsid w:val="87F75F90"/>
    <w:rsid w:val="93FAEAE8"/>
    <w:rsid w:val="94FC7F8C"/>
    <w:rsid w:val="9EE35BFB"/>
    <w:rsid w:val="9EFF42D3"/>
    <w:rsid w:val="9F5F910C"/>
    <w:rsid w:val="A3DBA30C"/>
    <w:rsid w:val="A7F7A25C"/>
    <w:rsid w:val="AB67CD30"/>
    <w:rsid w:val="ABFEC77D"/>
    <w:rsid w:val="AD9D6CAC"/>
    <w:rsid w:val="ADEA637D"/>
    <w:rsid w:val="AF3B00E1"/>
    <w:rsid w:val="AF3E5749"/>
    <w:rsid w:val="AF6F508E"/>
    <w:rsid w:val="AFE7417E"/>
    <w:rsid w:val="B1BE256C"/>
    <w:rsid w:val="B266252D"/>
    <w:rsid w:val="B3EAF801"/>
    <w:rsid w:val="B3F222A0"/>
    <w:rsid w:val="B4BFAF03"/>
    <w:rsid w:val="B5DFD94D"/>
    <w:rsid w:val="B63F1183"/>
    <w:rsid w:val="B6FE49DE"/>
    <w:rsid w:val="B71D9FED"/>
    <w:rsid w:val="B77C64B7"/>
    <w:rsid w:val="B7CF16C1"/>
    <w:rsid w:val="B7D3A67D"/>
    <w:rsid w:val="B7FC70C2"/>
    <w:rsid w:val="B8BE2900"/>
    <w:rsid w:val="B97EFA5B"/>
    <w:rsid w:val="B9CFD3C2"/>
    <w:rsid w:val="BA467E01"/>
    <w:rsid w:val="BB4DED5C"/>
    <w:rsid w:val="BBBAC9CA"/>
    <w:rsid w:val="BBF7D93F"/>
    <w:rsid w:val="BBFB556C"/>
    <w:rsid w:val="BCFEEF7C"/>
    <w:rsid w:val="BCFFCB98"/>
    <w:rsid w:val="BD7374CF"/>
    <w:rsid w:val="BD9F5B0C"/>
    <w:rsid w:val="BDF7DB37"/>
    <w:rsid w:val="BE195EAA"/>
    <w:rsid w:val="BE3FB752"/>
    <w:rsid w:val="BEDBFA39"/>
    <w:rsid w:val="BF7FA9C3"/>
    <w:rsid w:val="BFBF2C92"/>
    <w:rsid w:val="BFC7CA57"/>
    <w:rsid w:val="BFF3901F"/>
    <w:rsid w:val="BFFF5126"/>
    <w:rsid w:val="C5FF52D0"/>
    <w:rsid w:val="CC6FE660"/>
    <w:rsid w:val="CFED269B"/>
    <w:rsid w:val="D6D9B427"/>
    <w:rsid w:val="D7DFA9F0"/>
    <w:rsid w:val="D7FD2823"/>
    <w:rsid w:val="D7FD4416"/>
    <w:rsid w:val="D7FFF856"/>
    <w:rsid w:val="D8FF936E"/>
    <w:rsid w:val="D9EE2E24"/>
    <w:rsid w:val="DA7F1C3A"/>
    <w:rsid w:val="DB550311"/>
    <w:rsid w:val="DB67ECF9"/>
    <w:rsid w:val="DCFD9A39"/>
    <w:rsid w:val="DDE603E1"/>
    <w:rsid w:val="DE6FDCD8"/>
    <w:rsid w:val="DECDE563"/>
    <w:rsid w:val="DEDC4739"/>
    <w:rsid w:val="DEF655C3"/>
    <w:rsid w:val="DF5EC1E7"/>
    <w:rsid w:val="DF6F2C05"/>
    <w:rsid w:val="DFBFDABC"/>
    <w:rsid w:val="DFF27E06"/>
    <w:rsid w:val="DFF5530B"/>
    <w:rsid w:val="DFFD4920"/>
    <w:rsid w:val="DFFF0408"/>
    <w:rsid w:val="DFFF2B66"/>
    <w:rsid w:val="DFFFB799"/>
    <w:rsid w:val="E5FF6033"/>
    <w:rsid w:val="E6FDF075"/>
    <w:rsid w:val="E77EB760"/>
    <w:rsid w:val="E7DE3FFF"/>
    <w:rsid w:val="E8FD3383"/>
    <w:rsid w:val="EAFC40BC"/>
    <w:rsid w:val="EB2FEFE1"/>
    <w:rsid w:val="EBFA8FEC"/>
    <w:rsid w:val="EC3CA89D"/>
    <w:rsid w:val="ECAF82D7"/>
    <w:rsid w:val="EDB75F8F"/>
    <w:rsid w:val="EDC53F85"/>
    <w:rsid w:val="EDE37308"/>
    <w:rsid w:val="EDEF7E4C"/>
    <w:rsid w:val="EDF7BCE9"/>
    <w:rsid w:val="EEBF10B2"/>
    <w:rsid w:val="EEDD6ACF"/>
    <w:rsid w:val="EF7E81BA"/>
    <w:rsid w:val="EF7F4904"/>
    <w:rsid w:val="EFAFD049"/>
    <w:rsid w:val="EFDB1DAA"/>
    <w:rsid w:val="EFFB4B59"/>
    <w:rsid w:val="EFFD9659"/>
    <w:rsid w:val="F1FD0459"/>
    <w:rsid w:val="F2BBA84E"/>
    <w:rsid w:val="F2F8EE5D"/>
    <w:rsid w:val="F3EEDD58"/>
    <w:rsid w:val="F45D0249"/>
    <w:rsid w:val="F589EE1A"/>
    <w:rsid w:val="F5F75A0B"/>
    <w:rsid w:val="F5FBD9A4"/>
    <w:rsid w:val="F6FEA461"/>
    <w:rsid w:val="F77FA131"/>
    <w:rsid w:val="F78FE8B8"/>
    <w:rsid w:val="F7A6152F"/>
    <w:rsid w:val="F7AF21D7"/>
    <w:rsid w:val="F7DF04F0"/>
    <w:rsid w:val="F7FFC1B2"/>
    <w:rsid w:val="F8BF1E22"/>
    <w:rsid w:val="F8EF37DD"/>
    <w:rsid w:val="F9583DB8"/>
    <w:rsid w:val="F9D32540"/>
    <w:rsid w:val="FA5DA317"/>
    <w:rsid w:val="FA7DA654"/>
    <w:rsid w:val="FA975231"/>
    <w:rsid w:val="FADF7DC8"/>
    <w:rsid w:val="FB7F778A"/>
    <w:rsid w:val="FBDB8ABA"/>
    <w:rsid w:val="FBEF47FC"/>
    <w:rsid w:val="FBEFAAEB"/>
    <w:rsid w:val="FBF3F358"/>
    <w:rsid w:val="FBFDAB3E"/>
    <w:rsid w:val="FCBB733F"/>
    <w:rsid w:val="FCEF6855"/>
    <w:rsid w:val="FDDF42C8"/>
    <w:rsid w:val="FDFD46B1"/>
    <w:rsid w:val="FE731D97"/>
    <w:rsid w:val="FE8FCE35"/>
    <w:rsid w:val="FEB6EB8D"/>
    <w:rsid w:val="FEF10328"/>
    <w:rsid w:val="FEFF977C"/>
    <w:rsid w:val="FF1B95D2"/>
    <w:rsid w:val="FF2FAB94"/>
    <w:rsid w:val="FF5729D3"/>
    <w:rsid w:val="FF7E5EE9"/>
    <w:rsid w:val="FF8A1A25"/>
    <w:rsid w:val="FF8F8BA1"/>
    <w:rsid w:val="FF9F932B"/>
    <w:rsid w:val="FFA72293"/>
    <w:rsid w:val="FFBE044F"/>
    <w:rsid w:val="FFBEF3FB"/>
    <w:rsid w:val="FFCDAF45"/>
    <w:rsid w:val="FFDD9DAF"/>
    <w:rsid w:val="FFDF6564"/>
    <w:rsid w:val="FFDFE8E8"/>
    <w:rsid w:val="FFF371AE"/>
    <w:rsid w:val="FFFBB79E"/>
    <w:rsid w:val="FFFF4F2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line="560" w:lineRule="exact"/>
      <w:ind w:firstLine="720" w:firstLineChars="200"/>
      <w:outlineLvl w:val="0"/>
    </w:pPr>
    <w:rPr>
      <w:rFonts w:eastAsia="黑体"/>
      <w:bCs/>
      <w:sz w:val="32"/>
      <w:szCs w:val="32"/>
      <w:lang w:eastAsia="en-US"/>
    </w:rPr>
  </w:style>
  <w:style w:type="paragraph" w:styleId="3">
    <w:name w:val="heading 2"/>
    <w:basedOn w:val="1"/>
    <w:next w:val="1"/>
    <w:semiHidden/>
    <w:unhideWhenUsed/>
    <w:qFormat/>
    <w:uiPriority w:val="0"/>
    <w:pPr>
      <w:spacing w:beforeAutospacing="1" w:after="0" w:afterAutospacing="1"/>
      <w:jc w:val="left"/>
      <w:outlineLvl w:val="1"/>
    </w:pPr>
    <w:rPr>
      <w:rFonts w:hint="eastAsia" w:ascii="宋体" w:hAnsi="宋体"/>
      <w:b/>
      <w:kern w:val="0"/>
      <w:sz w:val="36"/>
      <w:szCs w:val="36"/>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2"/>
    <w:qFormat/>
    <w:uiPriority w:val="0"/>
    <w:pPr>
      <w:jc w:val="left"/>
    </w:pPr>
  </w:style>
  <w:style w:type="paragraph" w:styleId="6">
    <w:name w:val="Body Text"/>
    <w:basedOn w:val="1"/>
    <w:qFormat/>
    <w:uiPriority w:val="0"/>
    <w:pPr>
      <w:spacing w:before="180" w:after="180"/>
    </w:pPr>
  </w:style>
  <w:style w:type="paragraph" w:styleId="7">
    <w:name w:val="Body Text Indent"/>
    <w:basedOn w:val="1"/>
    <w:next w:val="8"/>
    <w:unhideWhenUsed/>
    <w:qFormat/>
    <w:uiPriority w:val="99"/>
    <w:pPr>
      <w:spacing w:after="120"/>
      <w:ind w:left="420" w:leftChars="200"/>
    </w:pPr>
  </w:style>
  <w:style w:type="paragraph" w:styleId="8">
    <w:name w:val="Balloon Text"/>
    <w:basedOn w:val="1"/>
    <w:qFormat/>
    <w:uiPriority w:val="0"/>
    <w:rPr>
      <w:sz w:val="18"/>
      <w:szCs w:val="18"/>
    </w:rPr>
  </w:style>
  <w:style w:type="paragraph" w:styleId="9">
    <w:name w:val="footer"/>
    <w:basedOn w:val="1"/>
    <w:next w:val="1"/>
    <w:link w:val="23"/>
    <w:qFormat/>
    <w:uiPriority w:val="99"/>
    <w:pPr>
      <w:tabs>
        <w:tab w:val="center" w:pos="4153"/>
        <w:tab w:val="right" w:pos="8306"/>
      </w:tabs>
      <w:snapToGrid w:val="0"/>
      <w:jc w:val="left"/>
    </w:pPr>
    <w:rPr>
      <w:sz w:val="18"/>
    </w:rPr>
  </w:style>
  <w:style w:type="paragraph" w:styleId="10">
    <w:name w:val="header"/>
    <w:basedOn w:val="1"/>
    <w:next w:val="9"/>
    <w:link w:val="24"/>
    <w:qFormat/>
    <w:uiPriority w:val="0"/>
    <w:pPr>
      <w:tabs>
        <w:tab w:val="center" w:pos="4153"/>
        <w:tab w:val="right" w:pos="8306"/>
      </w:tabs>
      <w:snapToGrid w:val="0"/>
      <w:jc w:val="center"/>
    </w:pPr>
    <w:rPr>
      <w:sz w:val="18"/>
      <w:szCs w:val="18"/>
    </w:rPr>
  </w:style>
  <w:style w:type="paragraph" w:styleId="11">
    <w:name w:val="Body Text 2"/>
    <w:basedOn w:val="1"/>
    <w:next w:val="12"/>
    <w:qFormat/>
    <w:uiPriority w:val="0"/>
    <w:pPr>
      <w:ind w:firstLine="1840"/>
    </w:pPr>
  </w:style>
  <w:style w:type="paragraph" w:styleId="12">
    <w:name w:val="Body Text First Indent 2"/>
    <w:basedOn w:val="7"/>
    <w:next w:val="1"/>
    <w:unhideWhenUsed/>
    <w:qFormat/>
    <w:uiPriority w:val="99"/>
    <w:pPr>
      <w:ind w:firstLine="420" w:firstLineChars="200"/>
    </w:pPr>
  </w:style>
  <w:style w:type="paragraph" w:styleId="13">
    <w:name w:val="Normal (Web)"/>
    <w:basedOn w:val="1"/>
    <w:qFormat/>
    <w:uiPriority w:val="0"/>
    <w:pPr>
      <w:spacing w:beforeAutospacing="1" w:after="100" w:afterAutospacing="1"/>
      <w:jc w:val="left"/>
    </w:pPr>
    <w:rPr>
      <w:kern w:val="0"/>
      <w:sz w:val="24"/>
    </w:rPr>
  </w:style>
  <w:style w:type="paragraph" w:styleId="14">
    <w:name w:val="annotation subject"/>
    <w:basedOn w:val="5"/>
    <w:next w:val="5"/>
    <w:link w:val="25"/>
    <w:qFormat/>
    <w:uiPriority w:val="0"/>
    <w:rPr>
      <w:b/>
      <w:bC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0"/>
    <w:rPr>
      <w:b/>
    </w:rPr>
  </w:style>
  <w:style w:type="character" w:styleId="19">
    <w:name w:val="page number"/>
    <w:qFormat/>
    <w:uiPriority w:val="0"/>
  </w:style>
  <w:style w:type="character" w:styleId="20">
    <w:name w:val="Hyperlink"/>
    <w:basedOn w:val="17"/>
    <w:unhideWhenUsed/>
    <w:qFormat/>
    <w:uiPriority w:val="99"/>
    <w:rPr>
      <w:color w:val="0000FF" w:themeColor="hyperlink"/>
      <w:u w:val="single"/>
      <w14:textFill>
        <w14:solidFill>
          <w14:schemeClr w14:val="hlink"/>
        </w14:solidFill>
      </w14:textFill>
    </w:rPr>
  </w:style>
  <w:style w:type="character" w:styleId="21">
    <w:name w:val="annotation reference"/>
    <w:qFormat/>
    <w:uiPriority w:val="0"/>
    <w:rPr>
      <w:sz w:val="21"/>
      <w:szCs w:val="21"/>
    </w:rPr>
  </w:style>
  <w:style w:type="character" w:customStyle="1" w:styleId="22">
    <w:name w:val="批注文字 字符"/>
    <w:link w:val="5"/>
    <w:qFormat/>
    <w:uiPriority w:val="0"/>
    <w:rPr>
      <w:kern w:val="2"/>
      <w:sz w:val="21"/>
      <w:szCs w:val="24"/>
    </w:rPr>
  </w:style>
  <w:style w:type="character" w:customStyle="1" w:styleId="23">
    <w:name w:val="页脚 字符"/>
    <w:link w:val="9"/>
    <w:qFormat/>
    <w:uiPriority w:val="99"/>
    <w:rPr>
      <w:kern w:val="2"/>
      <w:sz w:val="18"/>
      <w:szCs w:val="24"/>
    </w:rPr>
  </w:style>
  <w:style w:type="character" w:customStyle="1" w:styleId="24">
    <w:name w:val="页眉 字符"/>
    <w:link w:val="10"/>
    <w:qFormat/>
    <w:uiPriority w:val="0"/>
    <w:rPr>
      <w:kern w:val="2"/>
      <w:sz w:val="18"/>
      <w:szCs w:val="18"/>
    </w:rPr>
  </w:style>
  <w:style w:type="character" w:customStyle="1" w:styleId="25">
    <w:name w:val="批注主题 字符"/>
    <w:link w:val="14"/>
    <w:qFormat/>
    <w:uiPriority w:val="0"/>
    <w:rPr>
      <w:b/>
      <w:bCs/>
      <w:kern w:val="2"/>
      <w:sz w:val="21"/>
      <w:szCs w:val="24"/>
    </w:rPr>
  </w:style>
  <w:style w:type="paragraph" w:customStyle="1" w:styleId="26">
    <w:name w:val="Default"/>
    <w:qFormat/>
    <w:uiPriority w:val="0"/>
    <w:pPr>
      <w:widowControl w:val="0"/>
      <w:autoSpaceDE w:val="0"/>
      <w:autoSpaceDN w:val="0"/>
      <w:adjustRightInd w:val="0"/>
      <w:spacing w:after="160" w:line="278" w:lineRule="auto"/>
    </w:pPr>
    <w:rPr>
      <w:rFonts w:ascii="黑体" w:hAnsi="Times New Roman" w:eastAsia="黑体" w:cs="黑体"/>
      <w:color w:val="000000"/>
      <w:sz w:val="24"/>
      <w:szCs w:val="24"/>
      <w:lang w:val="en-US" w:eastAsia="zh-CN" w:bidi="ar-SA"/>
    </w:rPr>
  </w:style>
  <w:style w:type="paragraph" w:customStyle="1" w:styleId="27">
    <w:name w:val="样式 公文标题 + 行距: 最小值 28 磅"/>
    <w:basedOn w:val="28"/>
    <w:qFormat/>
    <w:uiPriority w:val="0"/>
    <w:pPr>
      <w:spacing w:line="560" w:lineRule="atLeast"/>
    </w:pPr>
    <w:rPr>
      <w:rFonts w:cs="宋体"/>
      <w:bCs/>
      <w:szCs w:val="20"/>
    </w:rPr>
  </w:style>
  <w:style w:type="paragraph" w:customStyle="1" w:styleId="28">
    <w:name w:val="公文标题"/>
    <w:basedOn w:val="29"/>
    <w:qFormat/>
    <w:uiPriority w:val="0"/>
    <w:pPr>
      <w:ind w:firstLine="0" w:firstLineChars="0"/>
      <w:jc w:val="center"/>
    </w:pPr>
    <w:rPr>
      <w:rFonts w:ascii="华文中宋" w:hAnsi="华文中宋" w:eastAsia="华文中宋"/>
      <w:b/>
      <w:sz w:val="36"/>
      <w:szCs w:val="36"/>
    </w:rPr>
  </w:style>
  <w:style w:type="paragraph" w:customStyle="1" w:styleId="29">
    <w:name w:val="正文+仿宋"/>
    <w:basedOn w:val="1"/>
    <w:qFormat/>
    <w:uiPriority w:val="0"/>
    <w:pPr>
      <w:snapToGrid w:val="0"/>
      <w:spacing w:line="360" w:lineRule="auto"/>
      <w:ind w:firstLine="200" w:firstLineChars="200"/>
    </w:pPr>
    <w:rPr>
      <w:rFonts w:ascii="仿宋_GB2312" w:eastAsia="仿宋_GB2312"/>
      <w:sz w:val="30"/>
      <w:szCs w:val="30"/>
    </w:rPr>
  </w:style>
  <w:style w:type="paragraph" w:customStyle="1" w:styleId="30">
    <w:name w:val="First Paragraph"/>
    <w:basedOn w:val="6"/>
    <w:next w:val="6"/>
    <w:qFormat/>
    <w:uiPriority w:val="0"/>
    <w:pPr>
      <w:spacing w:before="0" w:after="0" w:line="560" w:lineRule="exact"/>
      <w:ind w:firstLine="200" w:firstLineChars="200"/>
    </w:pPr>
    <w:rPr>
      <w:rFonts w:eastAsia="仿宋_GB2312"/>
      <w:sz w:val="32"/>
    </w:rPr>
  </w:style>
  <w:style w:type="paragraph" w:styleId="31">
    <w:name w:val="List Paragraph"/>
    <w:basedOn w:val="1"/>
    <w:qFormat/>
    <w:uiPriority w:val="99"/>
    <w:pPr>
      <w:ind w:firstLine="420" w:firstLineChars="200"/>
    </w:pPr>
  </w:style>
  <w:style w:type="paragraph" w:customStyle="1" w:styleId="32">
    <w:name w:val="WPSOffice手动目录 1"/>
    <w:qFormat/>
    <w:uiPriority w:val="0"/>
    <w:pPr>
      <w:spacing w:after="160" w:line="278" w:lineRule="auto"/>
    </w:pPr>
    <w:rPr>
      <w:rFonts w:ascii="Calibri" w:hAnsi="Calibri" w:eastAsia="宋体" w:cs="Times New Roman"/>
      <w:lang w:val="en-US" w:eastAsia="zh-CN" w:bidi="ar-SA"/>
    </w:rPr>
  </w:style>
  <w:style w:type="paragraph" w:customStyle="1" w:styleId="33">
    <w:name w:val="修订1"/>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4">
    <w:name w:val="修订2"/>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5">
    <w:name w:val="修订3"/>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6">
    <w:name w:val="_Style 32"/>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7">
    <w:name w:val="修订4"/>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8">
    <w:name w:val="_Style 35"/>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9">
    <w:name w:val="fulltext-wrap_navzhang"/>
    <w:basedOn w:val="1"/>
    <w:qFormat/>
    <w:uiPriority w:val="0"/>
    <w:pPr>
      <w:spacing w:line="576" w:lineRule="auto"/>
    </w:pPr>
    <w:rPr>
      <w:b/>
      <w:bCs/>
    </w:rPr>
  </w:style>
  <w:style w:type="paragraph" w:customStyle="1" w:styleId="40">
    <w:name w:val="div"/>
    <w:basedOn w:val="1"/>
    <w:qFormat/>
    <w:uiPriority w:val="0"/>
    <w:pPr>
      <w:textAlignment w:val="baseline"/>
    </w:pPr>
    <w:rPr>
      <w:sz w:val="24"/>
    </w:rPr>
  </w:style>
  <w:style w:type="character" w:customStyle="1" w:styleId="41">
    <w:name w:val="fulltext-wrap_navtiao"/>
    <w:qFormat/>
    <w:uiPriority w:val="0"/>
    <w:rPr>
      <w:b/>
      <w:bCs/>
    </w:rPr>
  </w:style>
  <w:style w:type="character" w:customStyle="1" w:styleId="42">
    <w:name w:val="navtiao"/>
    <w:qFormat/>
    <w:uiPriority w:val="0"/>
  </w:style>
  <w:style w:type="character" w:customStyle="1" w:styleId="43">
    <w:name w:val="hitclass"/>
    <w:qFormat/>
    <w:uiPriority w:val="0"/>
  </w:style>
  <w:style w:type="character" w:customStyle="1" w:styleId="44">
    <w:name w:val="currenthit"/>
    <w:qFormat/>
    <w:uiPriority w:val="0"/>
  </w:style>
  <w:style w:type="paragraph" w:customStyle="1" w:styleId="45">
    <w:name w:val="p1"/>
    <w:basedOn w:val="1"/>
    <w:qFormat/>
    <w:uiPriority w:val="0"/>
    <w:pPr>
      <w:widowControl/>
      <w:spacing w:after="0" w:line="240" w:lineRule="auto"/>
      <w:jc w:val="left"/>
    </w:pPr>
    <w:rPr>
      <w:rFonts w:ascii="Helvetica" w:hAnsi="Helvetica" w:cs="宋体"/>
      <w:color w:val="000000"/>
      <w:kern w:val="0"/>
      <w:sz w:val="28"/>
      <w:szCs w:val="28"/>
    </w:rPr>
  </w:style>
  <w:style w:type="paragraph" w:customStyle="1" w:styleId="46">
    <w:name w:val="p2"/>
    <w:basedOn w:val="1"/>
    <w:qFormat/>
    <w:uiPriority w:val="0"/>
    <w:pPr>
      <w:widowControl/>
      <w:spacing w:after="0" w:line="240" w:lineRule="auto"/>
      <w:jc w:val="left"/>
    </w:pPr>
    <w:rPr>
      <w:rFonts w:ascii="Times" w:hAnsi="Times" w:cs="宋体"/>
      <w:color w:val="000000"/>
      <w:kern w:val="0"/>
      <w:sz w:val="18"/>
      <w:szCs w:val="18"/>
    </w:rPr>
  </w:style>
  <w:style w:type="paragraph" w:customStyle="1" w:styleId="47">
    <w:name w:val="p3"/>
    <w:basedOn w:val="1"/>
    <w:qFormat/>
    <w:uiPriority w:val="0"/>
    <w:pPr>
      <w:widowControl/>
      <w:spacing w:after="0" w:line="240" w:lineRule="auto"/>
      <w:jc w:val="left"/>
    </w:pPr>
    <w:rPr>
      <w:rFonts w:ascii="PingFang SC" w:hAnsi="PingFang SC" w:eastAsia="PingFang SC" w:cs="宋体"/>
      <w:color w:val="FFFFFF"/>
      <w:kern w:val="0"/>
      <w:sz w:val="72"/>
      <w:szCs w:val="72"/>
    </w:rPr>
  </w:style>
  <w:style w:type="character" w:customStyle="1" w:styleId="48">
    <w:name w:val="s1"/>
    <w:qFormat/>
    <w:uiPriority w:val="0"/>
    <w:rPr>
      <w:rFonts w:hint="default" w:ascii="Times" w:hAnsi="Times"/>
      <w:sz w:val="19"/>
      <w:szCs w:val="19"/>
    </w:rPr>
  </w:style>
  <w:style w:type="character" w:customStyle="1" w:styleId="49">
    <w:name w:val="s2"/>
    <w:qFormat/>
    <w:uiPriority w:val="0"/>
    <w:rPr>
      <w:rFonts w:hint="default" w:ascii="Times" w:hAnsi="Times"/>
      <w:sz w:val="18"/>
      <w:szCs w:val="18"/>
    </w:rPr>
  </w:style>
  <w:style w:type="character" w:customStyle="1" w:styleId="50">
    <w:name w:val="s3"/>
    <w:qFormat/>
    <w:uiPriority w:val="0"/>
    <w:rPr>
      <w:rFonts w:hint="default" w:ascii="Helvetica" w:hAnsi="Helvetica"/>
      <w:sz w:val="19"/>
      <w:szCs w:val="19"/>
    </w:rPr>
  </w:style>
  <w:style w:type="character" w:customStyle="1" w:styleId="51">
    <w:name w:val="apple-converted-space"/>
    <w:qFormat/>
    <w:uiPriority w:val="0"/>
  </w:style>
  <w:style w:type="table" w:customStyle="1" w:styleId="52">
    <w:name w:val="fulltext-wrap_fulltext_table_c_tb"/>
    <w:basedOn w:val="15"/>
    <w:qFormat/>
    <w:uiPriority w:val="0"/>
    <w:pPr>
      <w:spacing w:after="0" w:line="240" w:lineRule="auto"/>
    </w:pPr>
    <w:rPr>
      <w:rFonts w:eastAsia="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1184</Words>
  <Characters>6750</Characters>
  <Lines>1</Lines>
  <Paragraphs>1</Paragraphs>
  <TotalTime>0</TotalTime>
  <ScaleCrop>false</ScaleCrop>
  <LinksUpToDate>false</LinksUpToDate>
  <CharactersWithSpaces>7919</CharactersWithSpaces>
  <Application>WPS Office_11.8.2.12009_F1E327BC-269C-435d-A152-05C5408002CA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2025-10-09T03:22:00Z</dcterms:created>
  <dc:creator>王青:部门负责人复核</dc:creator>
  <cp:lastModifiedBy>唐晓燕:办公室核稿</cp:lastModifiedBy>
  <cp:lastPrinted>2026-03-21T09:44:00Z</cp:lastPrinted>
  <dcterms:modified xsi:type="dcterms:W3CDTF">2026-08-18T09:18:48Z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KSOTemplateDocerSaveRecord">
    <vt:lpwstr>eyJoZGlkIjoiYWFmMzUzYTE3YWU5NTBkOGI5M2NmNTU2MmRlNWM1YWYiLCJ1c2VySWQiOiIyNDA3OTE3MzAifQ==</vt:lpwstr>
  </property>
  <property fmtid="{D5CDD505-2E9C-101B-9397-08002B2CF9AE}" pid="4" name="ICV">
    <vt:lpwstr>33E2921DBBF8C4C27FB47A6A55A1A738_43</vt:lpwstr>
  </property>
</Properties>
</file>