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39" w:rsidRPr="007C4A04" w:rsidRDefault="00F11139" w:rsidP="00F11139">
      <w:pPr>
        <w:spacing w:line="560" w:lineRule="exact"/>
        <w:jc w:val="left"/>
        <w:rPr>
          <w:rFonts w:eastAsia="仿宋_GB2312"/>
          <w:bCs/>
          <w:sz w:val="30"/>
          <w:szCs w:val="30"/>
        </w:rPr>
      </w:pPr>
      <w:r w:rsidRPr="007C4A04">
        <w:rPr>
          <w:rFonts w:eastAsia="仿宋_GB2312"/>
          <w:bCs/>
          <w:sz w:val="30"/>
          <w:szCs w:val="30"/>
        </w:rPr>
        <w:t>附件</w:t>
      </w:r>
      <w:r w:rsidRPr="007C4A04">
        <w:rPr>
          <w:rFonts w:eastAsia="仿宋_GB2312"/>
          <w:bCs/>
          <w:sz w:val="30"/>
          <w:szCs w:val="30"/>
        </w:rPr>
        <w:t>2:</w:t>
      </w:r>
    </w:p>
    <w:p w:rsidR="00F11139" w:rsidRPr="007C4A04" w:rsidRDefault="00F11139" w:rsidP="00F11139">
      <w:pPr>
        <w:spacing w:line="560" w:lineRule="exact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 w:rsidRPr="007C4A04">
        <w:rPr>
          <w:rFonts w:ascii="华文中宋" w:eastAsia="华文中宋" w:hAnsi="华文中宋" w:cs="宋体" w:hint="eastAsia"/>
          <w:b/>
          <w:bCs/>
          <w:sz w:val="32"/>
          <w:szCs w:val="32"/>
        </w:rPr>
        <w:t>上海市建设工程安全生产责任保险费率</w:t>
      </w:r>
    </w:p>
    <w:p w:rsidR="00F11139" w:rsidRPr="00C226D8" w:rsidRDefault="00F11139" w:rsidP="00F11139">
      <w:pPr>
        <w:pStyle w:val="a3"/>
        <w:spacing w:line="560" w:lineRule="exact"/>
        <w:ind w:firstLine="482"/>
        <w:rPr>
          <w:rFonts w:ascii="仿宋" w:eastAsia="仿宋" w:hAnsi="仿宋" w:hint="eastAsia"/>
          <w:sz w:val="24"/>
          <w:szCs w:val="24"/>
          <w:lang w:eastAsia="zh-CN"/>
        </w:rPr>
      </w:pPr>
      <w:r w:rsidRPr="00C226D8">
        <w:rPr>
          <w:rFonts w:ascii="仿宋" w:eastAsia="仿宋" w:hAnsi="仿宋" w:hint="eastAsia"/>
          <w:b/>
          <w:sz w:val="24"/>
          <w:szCs w:val="24"/>
        </w:rPr>
        <w:t>一、基准费率</w:t>
      </w:r>
      <w:bookmarkStart w:id="0" w:name="_Toc503375948"/>
      <w:bookmarkStart w:id="1" w:name="_Toc503429112"/>
    </w:p>
    <w:tbl>
      <w:tblPr>
        <w:tblW w:w="8323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0"/>
        <w:gridCol w:w="5387"/>
        <w:gridCol w:w="1276"/>
      </w:tblGrid>
      <w:tr w:rsidR="00F11139" w:rsidRPr="007C4A04" w:rsidTr="00F10107">
        <w:trPr>
          <w:trHeight w:val="439"/>
        </w:trPr>
        <w:tc>
          <w:tcPr>
            <w:tcW w:w="166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工程风险类别</w:t>
            </w:r>
          </w:p>
        </w:tc>
        <w:tc>
          <w:tcPr>
            <w:tcW w:w="538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工程类型</w:t>
            </w:r>
          </w:p>
        </w:tc>
        <w:tc>
          <w:tcPr>
            <w:tcW w:w="127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基准费率</w:t>
            </w:r>
          </w:p>
        </w:tc>
      </w:tr>
      <w:tr w:rsidR="00F11139" w:rsidRPr="007C4A04" w:rsidTr="00F10107">
        <w:trPr>
          <w:trHeight w:val="868"/>
        </w:trPr>
        <w:tc>
          <w:tcPr>
            <w:tcW w:w="166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低风险工程</w:t>
            </w:r>
          </w:p>
        </w:tc>
        <w:tc>
          <w:tcPr>
            <w:tcW w:w="5387" w:type="dxa"/>
            <w:vAlign w:val="center"/>
          </w:tcPr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房屋建筑；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建筑装修；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市政工程（不含涉水桥梁、地下工程）；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园林绿化、房屋修缮、线路管道工程。</w:t>
            </w:r>
          </w:p>
        </w:tc>
        <w:tc>
          <w:tcPr>
            <w:tcW w:w="127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1.65‰</w:t>
            </w:r>
          </w:p>
        </w:tc>
      </w:tr>
      <w:tr w:rsidR="00F11139" w:rsidRPr="007C4A04" w:rsidTr="00F10107">
        <w:tc>
          <w:tcPr>
            <w:tcW w:w="166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一般风险工程</w:t>
            </w:r>
          </w:p>
        </w:tc>
        <w:tc>
          <w:tcPr>
            <w:tcW w:w="5387" w:type="dxa"/>
          </w:tcPr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电厂（不含联合循环电厂、风电安装工程）；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机电设备安装工程；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桥隧占比低于</w:t>
            </w:r>
            <w:r w:rsidRPr="007C4A04">
              <w:rPr>
                <w:rFonts w:eastAsia="仿宋"/>
                <w:color w:val="000000"/>
                <w:sz w:val="24"/>
              </w:rPr>
              <w:t>60%</w:t>
            </w:r>
            <w:r w:rsidRPr="007C4A04">
              <w:rPr>
                <w:rFonts w:eastAsia="仿宋"/>
                <w:color w:val="000000"/>
                <w:sz w:val="24"/>
              </w:rPr>
              <w:t>的公路、铁路项目。</w:t>
            </w:r>
          </w:p>
        </w:tc>
        <w:tc>
          <w:tcPr>
            <w:tcW w:w="127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2.23‰</w:t>
            </w:r>
          </w:p>
        </w:tc>
      </w:tr>
      <w:tr w:rsidR="00F11139" w:rsidRPr="007C4A04" w:rsidTr="00F10107">
        <w:tc>
          <w:tcPr>
            <w:tcW w:w="166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高风险工程</w:t>
            </w:r>
          </w:p>
        </w:tc>
        <w:tc>
          <w:tcPr>
            <w:tcW w:w="5387" w:type="dxa"/>
          </w:tcPr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超过</w:t>
            </w:r>
            <w:r w:rsidRPr="007C4A04">
              <w:rPr>
                <w:rFonts w:eastAsia="仿宋"/>
                <w:color w:val="000000"/>
                <w:sz w:val="24"/>
              </w:rPr>
              <w:t>100</w:t>
            </w:r>
            <w:r w:rsidRPr="007C4A04">
              <w:rPr>
                <w:rFonts w:eastAsia="仿宋"/>
                <w:color w:val="000000"/>
                <w:sz w:val="24"/>
              </w:rPr>
              <w:t>米的超高层建筑；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超宽、超大且国内尚未有建筑标准的建筑项目；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桥梁、堤坝、码头等涉水作业工程；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隧道、桥梁占比超过</w:t>
            </w:r>
            <w:r w:rsidRPr="007C4A04">
              <w:rPr>
                <w:rFonts w:eastAsia="仿宋"/>
                <w:color w:val="000000"/>
                <w:sz w:val="24"/>
              </w:rPr>
              <w:t>60%</w:t>
            </w:r>
            <w:r w:rsidRPr="007C4A04">
              <w:rPr>
                <w:rFonts w:eastAsia="仿宋"/>
                <w:color w:val="000000"/>
                <w:sz w:val="24"/>
              </w:rPr>
              <w:t>的公路、铁路项目；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地下工程项目（含地铁）；</w:t>
            </w:r>
          </w:p>
          <w:p w:rsidR="00F11139" w:rsidRPr="007C4A04" w:rsidRDefault="00F11139" w:rsidP="00F10107">
            <w:pPr>
              <w:jc w:val="left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矿山；危险化学品相关工程。</w:t>
            </w:r>
          </w:p>
        </w:tc>
        <w:tc>
          <w:tcPr>
            <w:tcW w:w="127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2.72‰</w:t>
            </w:r>
          </w:p>
        </w:tc>
      </w:tr>
    </w:tbl>
    <w:p w:rsidR="00F11139" w:rsidRPr="00C226D8" w:rsidRDefault="00F11139" w:rsidP="00F11139">
      <w:pPr>
        <w:pStyle w:val="a3"/>
        <w:spacing w:line="560" w:lineRule="exact"/>
        <w:ind w:firstLineChars="200" w:firstLine="482"/>
        <w:rPr>
          <w:rFonts w:ascii="仿宋" w:eastAsia="仿宋" w:hAnsi="仿宋" w:hint="eastAsia"/>
          <w:b/>
          <w:sz w:val="24"/>
          <w:szCs w:val="24"/>
          <w:lang w:eastAsia="zh-CN"/>
        </w:rPr>
      </w:pPr>
      <w:r w:rsidRPr="00C226D8">
        <w:rPr>
          <w:rFonts w:ascii="仿宋" w:eastAsia="仿宋" w:hAnsi="仿宋" w:hint="eastAsia"/>
          <w:b/>
          <w:sz w:val="24"/>
          <w:szCs w:val="24"/>
        </w:rPr>
        <w:t>二、费率调整系数</w:t>
      </w:r>
      <w:bookmarkEnd w:id="0"/>
      <w:bookmarkEnd w:id="1"/>
      <w:r w:rsidRPr="00C226D8">
        <w:rPr>
          <w:rFonts w:ascii="仿宋" w:eastAsia="仿宋" w:hAnsi="仿宋" w:hint="eastAsia"/>
          <w:b/>
          <w:sz w:val="24"/>
          <w:szCs w:val="24"/>
          <w:lang w:eastAsia="zh-CN"/>
        </w:rPr>
        <w:t>（各调整系数之间为连乘关系）</w:t>
      </w: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（一）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工程造价调整系数</w:t>
      </w:r>
    </w:p>
    <w:tbl>
      <w:tblPr>
        <w:tblW w:w="8401" w:type="dxa"/>
        <w:jc w:val="center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040"/>
        <w:gridCol w:w="1134"/>
        <w:gridCol w:w="1134"/>
        <w:gridCol w:w="1276"/>
        <w:gridCol w:w="1071"/>
        <w:gridCol w:w="1101"/>
        <w:gridCol w:w="936"/>
      </w:tblGrid>
      <w:tr w:rsidR="00F11139" w:rsidRPr="007C4A04" w:rsidTr="00F10107">
        <w:trPr>
          <w:trHeight w:val="78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工程造价</w:t>
            </w:r>
            <w:r w:rsidRPr="007C4A04">
              <w:rPr>
                <w:rFonts w:eastAsia="仿宋"/>
                <w:color w:val="000000"/>
                <w:sz w:val="24"/>
              </w:rPr>
              <w:t>(</w:t>
            </w:r>
            <w:r w:rsidRPr="007C4A04">
              <w:rPr>
                <w:rFonts w:eastAsia="仿宋"/>
                <w:color w:val="000000"/>
                <w:sz w:val="24"/>
              </w:rPr>
              <w:t>元</w:t>
            </w:r>
            <w:r w:rsidRPr="007C4A04">
              <w:rPr>
                <w:rFonts w:eastAsia="仿宋"/>
                <w:color w:val="000000"/>
                <w:sz w:val="24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500</w:t>
            </w:r>
            <w:r w:rsidRPr="007C4A04">
              <w:rPr>
                <w:rFonts w:eastAsia="仿宋"/>
                <w:color w:val="000000"/>
                <w:sz w:val="24"/>
              </w:rPr>
              <w:t>万及以下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500-1000</w:t>
            </w:r>
            <w:r w:rsidRPr="007C4A04">
              <w:rPr>
                <w:rFonts w:eastAsia="仿宋"/>
                <w:color w:val="000000"/>
                <w:spacing w:val="-20"/>
                <w:sz w:val="24"/>
              </w:rPr>
              <w:t>万</w:t>
            </w:r>
          </w:p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（含）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1000-2000</w:t>
            </w:r>
            <w:r w:rsidRPr="007C4A04">
              <w:rPr>
                <w:rFonts w:eastAsia="仿宋"/>
                <w:color w:val="000000"/>
                <w:spacing w:val="-20"/>
                <w:sz w:val="24"/>
              </w:rPr>
              <w:t>万</w:t>
            </w:r>
          </w:p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（含）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2000-8000</w:t>
            </w:r>
            <w:r w:rsidRPr="007C4A04">
              <w:rPr>
                <w:rFonts w:eastAsia="仿宋"/>
                <w:color w:val="000000"/>
                <w:spacing w:val="-20"/>
                <w:sz w:val="24"/>
              </w:rPr>
              <w:t>万</w:t>
            </w:r>
          </w:p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（含）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8000</w:t>
            </w:r>
            <w:r w:rsidRPr="007C4A04">
              <w:rPr>
                <w:rFonts w:eastAsia="仿宋"/>
                <w:color w:val="000000"/>
                <w:sz w:val="24"/>
              </w:rPr>
              <w:t>万</w:t>
            </w:r>
            <w:r w:rsidRPr="007C4A04">
              <w:rPr>
                <w:rFonts w:eastAsia="仿宋"/>
                <w:color w:val="000000"/>
                <w:sz w:val="24"/>
              </w:rPr>
              <w:t>-2</w:t>
            </w:r>
            <w:r w:rsidRPr="007C4A04">
              <w:rPr>
                <w:rFonts w:eastAsia="仿宋"/>
                <w:color w:val="000000"/>
                <w:sz w:val="24"/>
              </w:rPr>
              <w:t>亿（含）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2-10</w:t>
            </w:r>
            <w:r w:rsidRPr="007C4A04">
              <w:rPr>
                <w:rFonts w:eastAsia="仿宋"/>
                <w:color w:val="000000"/>
                <w:sz w:val="24"/>
              </w:rPr>
              <w:t>亿（含）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</w:t>
            </w:r>
            <w:r w:rsidRPr="007C4A04">
              <w:rPr>
                <w:rFonts w:eastAsia="仿宋"/>
                <w:color w:val="000000"/>
                <w:sz w:val="24"/>
              </w:rPr>
              <w:t>亿以上</w:t>
            </w:r>
          </w:p>
        </w:tc>
      </w:tr>
      <w:tr w:rsidR="00F11139" w:rsidRPr="007C4A04" w:rsidTr="00F10107">
        <w:trPr>
          <w:trHeight w:val="120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1.5-3.0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1.3-1.5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1.1-1.3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1.0-1.1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0.9-1.0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0.8-0.9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7C4A04">
              <w:rPr>
                <w:rFonts w:eastAsia="仿宋"/>
                <w:color w:val="000000"/>
                <w:spacing w:val="-20"/>
                <w:sz w:val="24"/>
              </w:rPr>
              <w:t>0.6-0.8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（二）保险期间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调整系数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5"/>
        <w:gridCol w:w="2966"/>
      </w:tblGrid>
      <w:tr w:rsidR="00F11139" w:rsidRPr="007C4A04" w:rsidTr="00F10107">
        <w:trPr>
          <w:trHeight w:val="454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保险期间（年）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54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0.8-0.9</w:t>
            </w:r>
          </w:p>
        </w:tc>
      </w:tr>
      <w:tr w:rsidR="00F11139" w:rsidRPr="007C4A04" w:rsidTr="00F10107">
        <w:trPr>
          <w:trHeight w:val="454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1-2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0.9-1.0</w:t>
            </w:r>
          </w:p>
        </w:tc>
      </w:tr>
      <w:tr w:rsidR="00F11139" w:rsidRPr="007C4A04" w:rsidTr="00F10107">
        <w:trPr>
          <w:trHeight w:val="454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2-3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1.0-1.1</w:t>
            </w:r>
          </w:p>
        </w:tc>
      </w:tr>
      <w:tr w:rsidR="00F11139" w:rsidRPr="007C4A04" w:rsidTr="00F10107">
        <w:trPr>
          <w:trHeight w:val="454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3</w:t>
            </w:r>
            <w:r w:rsidRPr="007C4A04">
              <w:rPr>
                <w:rFonts w:eastAsia="仿宋"/>
                <w:color w:val="000000"/>
                <w:sz w:val="24"/>
              </w:rPr>
              <w:t>以上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1.1-3.0</w:t>
            </w:r>
          </w:p>
        </w:tc>
      </w:tr>
    </w:tbl>
    <w:p w:rsidR="00F11139" w:rsidRDefault="00F11139" w:rsidP="00F11139">
      <w:pPr>
        <w:spacing w:line="560" w:lineRule="exact"/>
        <w:ind w:firstLineChars="200" w:firstLine="480"/>
        <w:rPr>
          <w:rFonts w:ascii="仿宋" w:eastAsia="仿宋" w:hAnsi="仿宋" w:cs="Arial" w:hint="eastAsia"/>
          <w:color w:val="000000"/>
          <w:sz w:val="24"/>
          <w:u w:color="000000"/>
        </w:rPr>
      </w:pPr>
      <w:bookmarkStart w:id="2" w:name="_Toc503375949"/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（三）从业人员/第三者责任每次事故每人人身伤亡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责任限额调整系数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3"/>
        <w:gridCol w:w="2982"/>
      </w:tblGrid>
      <w:tr w:rsidR="00F11139" w:rsidRPr="007C4A04" w:rsidTr="00F10107">
        <w:trPr>
          <w:trHeight w:val="481"/>
          <w:jc w:val="center"/>
        </w:trPr>
        <w:tc>
          <w:tcPr>
            <w:tcW w:w="5413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lastRenderedPageBreak/>
              <w:t>从业人员</w:t>
            </w:r>
            <w:r w:rsidRPr="007C4A04">
              <w:rPr>
                <w:rFonts w:eastAsia="仿宋"/>
                <w:color w:val="000000"/>
                <w:sz w:val="24"/>
              </w:rPr>
              <w:t>/</w:t>
            </w:r>
            <w:r w:rsidRPr="007C4A04">
              <w:rPr>
                <w:rFonts w:eastAsia="仿宋"/>
                <w:color w:val="000000"/>
                <w:sz w:val="24"/>
              </w:rPr>
              <w:t>第三者责任每次事故</w:t>
            </w:r>
          </w:p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每人人身伤亡责任限额（万元）</w:t>
            </w:r>
          </w:p>
        </w:tc>
        <w:tc>
          <w:tcPr>
            <w:tcW w:w="298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81"/>
          <w:jc w:val="center"/>
        </w:trPr>
        <w:tc>
          <w:tcPr>
            <w:tcW w:w="5413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80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98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0.8-1.0</w:t>
            </w:r>
          </w:p>
        </w:tc>
      </w:tr>
      <w:tr w:rsidR="00F11139" w:rsidRPr="007C4A04" w:rsidTr="00F10107">
        <w:trPr>
          <w:trHeight w:val="481"/>
          <w:jc w:val="center"/>
        </w:trPr>
        <w:tc>
          <w:tcPr>
            <w:tcW w:w="5413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80-100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8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1.0-1.2</w:t>
            </w:r>
          </w:p>
        </w:tc>
      </w:tr>
      <w:tr w:rsidR="00F11139" w:rsidRPr="007C4A04" w:rsidTr="00F10107">
        <w:trPr>
          <w:trHeight w:val="481"/>
          <w:jc w:val="center"/>
        </w:trPr>
        <w:tc>
          <w:tcPr>
            <w:tcW w:w="5413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100-150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8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1.2-1.3</w:t>
            </w:r>
          </w:p>
        </w:tc>
      </w:tr>
      <w:tr w:rsidR="00F11139" w:rsidRPr="007C4A04" w:rsidTr="00F10107">
        <w:trPr>
          <w:trHeight w:val="481"/>
          <w:jc w:val="center"/>
        </w:trPr>
        <w:tc>
          <w:tcPr>
            <w:tcW w:w="5413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150</w:t>
            </w:r>
            <w:r w:rsidRPr="007C4A04">
              <w:rPr>
                <w:rFonts w:eastAsia="仿宋"/>
                <w:color w:val="000000"/>
                <w:sz w:val="24"/>
              </w:rPr>
              <w:t>以上</w:t>
            </w:r>
          </w:p>
        </w:tc>
        <w:tc>
          <w:tcPr>
            <w:tcW w:w="298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1.3-3.0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（四）从业人员/第三者责任每次事故每人医疗费用责任限额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调整系数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42"/>
        <w:gridCol w:w="2955"/>
      </w:tblGrid>
      <w:tr w:rsidR="00F11139" w:rsidRPr="007C4A04" w:rsidTr="00F10107">
        <w:trPr>
          <w:trHeight w:val="495"/>
          <w:jc w:val="center"/>
        </w:trPr>
        <w:tc>
          <w:tcPr>
            <w:tcW w:w="544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从业人员</w:t>
            </w:r>
            <w:r w:rsidRPr="007C4A04">
              <w:rPr>
                <w:rFonts w:eastAsia="仿宋"/>
                <w:color w:val="000000"/>
                <w:sz w:val="24"/>
              </w:rPr>
              <w:t>/</w:t>
            </w:r>
            <w:r w:rsidRPr="007C4A04">
              <w:rPr>
                <w:rFonts w:eastAsia="仿宋"/>
                <w:color w:val="000000"/>
                <w:sz w:val="24"/>
              </w:rPr>
              <w:t>第三者责任每次事故</w:t>
            </w:r>
          </w:p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每人医疗费用责任限额（万元）</w:t>
            </w:r>
          </w:p>
        </w:tc>
        <w:tc>
          <w:tcPr>
            <w:tcW w:w="2955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95"/>
          <w:jc w:val="center"/>
        </w:trPr>
        <w:tc>
          <w:tcPr>
            <w:tcW w:w="544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955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0.8-1.0</w:t>
            </w:r>
          </w:p>
        </w:tc>
      </w:tr>
      <w:tr w:rsidR="00F11139" w:rsidRPr="007C4A04" w:rsidTr="00F10107">
        <w:trPr>
          <w:trHeight w:val="495"/>
          <w:jc w:val="center"/>
        </w:trPr>
        <w:tc>
          <w:tcPr>
            <w:tcW w:w="544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8-10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5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1.0-1.2</w:t>
            </w:r>
          </w:p>
        </w:tc>
      </w:tr>
      <w:tr w:rsidR="00F11139" w:rsidRPr="007C4A04" w:rsidTr="00F10107">
        <w:trPr>
          <w:trHeight w:val="495"/>
          <w:jc w:val="center"/>
        </w:trPr>
        <w:tc>
          <w:tcPr>
            <w:tcW w:w="544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10-15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5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1.2-1.3</w:t>
            </w:r>
          </w:p>
        </w:tc>
      </w:tr>
      <w:tr w:rsidR="00F11139" w:rsidRPr="007C4A04" w:rsidTr="00F10107">
        <w:trPr>
          <w:trHeight w:val="495"/>
          <w:jc w:val="center"/>
        </w:trPr>
        <w:tc>
          <w:tcPr>
            <w:tcW w:w="5442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15</w:t>
            </w:r>
            <w:r w:rsidRPr="007C4A04">
              <w:rPr>
                <w:rFonts w:eastAsia="仿宋"/>
                <w:color w:val="000000"/>
                <w:sz w:val="24"/>
              </w:rPr>
              <w:t>以上</w:t>
            </w:r>
          </w:p>
        </w:tc>
        <w:tc>
          <w:tcPr>
            <w:tcW w:w="2955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1.3-3.0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（五）保单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累计责任限额调整系数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7"/>
        <w:gridCol w:w="2950"/>
      </w:tblGrid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保单累计责任限额（万元）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1000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0.8-0.9</w:t>
            </w:r>
          </w:p>
        </w:tc>
      </w:tr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1000-2000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0.9-1.0</w:t>
            </w:r>
          </w:p>
        </w:tc>
      </w:tr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2000-3000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1.0-1.1</w:t>
            </w:r>
          </w:p>
        </w:tc>
      </w:tr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3000-4000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1.1-1.2</w:t>
            </w:r>
          </w:p>
        </w:tc>
      </w:tr>
      <w:tr w:rsidR="00F11139" w:rsidRPr="007C4A04" w:rsidTr="00F10107">
        <w:trPr>
          <w:trHeight w:val="515"/>
          <w:jc w:val="center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4000</w:t>
            </w:r>
            <w:r w:rsidRPr="007C4A04">
              <w:rPr>
                <w:rFonts w:eastAsia="仿宋"/>
                <w:color w:val="000000"/>
                <w:sz w:val="24"/>
              </w:rPr>
              <w:t>以上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1.2-3.0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（六）保单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每次事故责任限额调整系数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6"/>
        <w:gridCol w:w="2950"/>
      </w:tblGrid>
      <w:tr w:rsidR="00F11139" w:rsidRPr="007C4A04" w:rsidTr="00F10107">
        <w:trPr>
          <w:trHeight w:val="564"/>
          <w:jc w:val="center"/>
        </w:trPr>
        <w:tc>
          <w:tcPr>
            <w:tcW w:w="542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保单每次事故责任限额</w:t>
            </w:r>
            <w:r w:rsidRPr="007C4A04">
              <w:rPr>
                <w:rFonts w:eastAsia="仿宋"/>
                <w:color w:val="000000"/>
                <w:sz w:val="24"/>
              </w:rPr>
              <w:t>÷</w:t>
            </w:r>
            <w:r w:rsidRPr="007C4A04">
              <w:rPr>
                <w:rFonts w:eastAsia="仿宋"/>
                <w:color w:val="000000"/>
                <w:sz w:val="24"/>
              </w:rPr>
              <w:t>保单累计责任限额</w:t>
            </w:r>
          </w:p>
        </w:tc>
        <w:tc>
          <w:tcPr>
            <w:tcW w:w="295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564"/>
          <w:jc w:val="center"/>
        </w:trPr>
        <w:tc>
          <w:tcPr>
            <w:tcW w:w="542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25%</w:t>
            </w:r>
            <w:r w:rsidRPr="007C4A04">
              <w:rPr>
                <w:rFonts w:eastAsia="仿宋"/>
                <w:color w:val="000000"/>
                <w:sz w:val="24"/>
              </w:rPr>
              <w:t>及以内</w:t>
            </w:r>
          </w:p>
        </w:tc>
        <w:tc>
          <w:tcPr>
            <w:tcW w:w="295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0.8-0.9</w:t>
            </w:r>
          </w:p>
        </w:tc>
      </w:tr>
      <w:tr w:rsidR="00F11139" w:rsidRPr="007C4A04" w:rsidTr="00F10107">
        <w:trPr>
          <w:trHeight w:val="564"/>
          <w:jc w:val="center"/>
        </w:trPr>
        <w:tc>
          <w:tcPr>
            <w:tcW w:w="542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25%-50%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0.9-1.0</w:t>
            </w:r>
          </w:p>
        </w:tc>
      </w:tr>
      <w:tr w:rsidR="00F11139" w:rsidRPr="007C4A04" w:rsidTr="00F10107">
        <w:trPr>
          <w:trHeight w:val="564"/>
          <w:jc w:val="center"/>
        </w:trPr>
        <w:tc>
          <w:tcPr>
            <w:tcW w:w="5426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50%-100%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95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1.0-1.1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（七）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免赔额（率）调整系数</w:t>
      </w:r>
    </w:p>
    <w:tbl>
      <w:tblPr>
        <w:tblW w:w="0" w:type="auto"/>
        <w:tblInd w:w="113" w:type="dxa"/>
        <w:tblLayout w:type="fixed"/>
        <w:tblLook w:val="0000"/>
      </w:tblPr>
      <w:tblGrid>
        <w:gridCol w:w="5382"/>
        <w:gridCol w:w="850"/>
        <w:gridCol w:w="1134"/>
        <w:gridCol w:w="993"/>
      </w:tblGrid>
      <w:tr w:rsidR="00F11139" w:rsidRPr="00C226D8" w:rsidTr="00F10107">
        <w:trPr>
          <w:trHeight w:val="50"/>
        </w:trPr>
        <w:tc>
          <w:tcPr>
            <w:tcW w:w="5382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  <w:tl2br w:val="single" w:sz="4" w:space="0" w:color="auto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 xml:space="preserve">                         </w:t>
            </w: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免赔额（万元）</w:t>
            </w:r>
          </w:p>
          <w:p w:rsidR="00F11139" w:rsidRPr="00C226D8" w:rsidRDefault="00F11139" w:rsidP="00F10107">
            <w:pPr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 xml:space="preserve">           </w:t>
            </w: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免赔率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1以下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1（含）-3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3及以上</w:t>
            </w:r>
          </w:p>
        </w:tc>
      </w:tr>
      <w:tr w:rsidR="00F11139" w:rsidRPr="00C226D8" w:rsidTr="00F10107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lastRenderedPageBreak/>
              <w:t>3%以下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0.90</w:t>
            </w:r>
          </w:p>
        </w:tc>
      </w:tr>
      <w:tr w:rsidR="00F11139" w:rsidRPr="00C226D8" w:rsidTr="00F10107">
        <w:trPr>
          <w:trHeight w:val="542"/>
        </w:trPr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3%（含）-5%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0.85</w:t>
            </w:r>
          </w:p>
        </w:tc>
      </w:tr>
      <w:tr w:rsidR="00F11139" w:rsidRPr="00C226D8" w:rsidTr="00F10107">
        <w:trPr>
          <w:trHeight w:val="551"/>
        </w:trPr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5%及以上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139" w:rsidRPr="00C226D8" w:rsidRDefault="00F11139" w:rsidP="00F10107">
            <w:pPr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C226D8">
              <w:rPr>
                <w:rFonts w:ascii="仿宋" w:eastAsia="仿宋" w:hAnsi="仿宋" w:cs="Arial" w:hint="eastAsia"/>
                <w:color w:val="000000"/>
                <w:sz w:val="24"/>
              </w:rPr>
              <w:t>0.80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/>
          <w:color w:val="000000"/>
          <w:sz w:val="24"/>
          <w:u w:color="000000"/>
        </w:rPr>
        <w:t>（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八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）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从业人员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投保工伤保险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比例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调整系数</w:t>
      </w:r>
    </w:p>
    <w:tbl>
      <w:tblPr>
        <w:tblW w:w="0" w:type="auto"/>
        <w:jc w:val="center"/>
        <w:tblLayout w:type="fixed"/>
        <w:tblLook w:val="0000"/>
      </w:tblPr>
      <w:tblGrid>
        <w:gridCol w:w="5308"/>
        <w:gridCol w:w="2812"/>
      </w:tblGrid>
      <w:tr w:rsidR="00F11139" w:rsidRPr="007C4A04" w:rsidTr="00F10107">
        <w:trPr>
          <w:trHeight w:val="561"/>
          <w:jc w:val="center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从业人员投保工伤保险比例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561"/>
          <w:jc w:val="center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80%-100%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0.8-0.9</w:t>
            </w:r>
          </w:p>
        </w:tc>
      </w:tr>
      <w:tr w:rsidR="00F11139" w:rsidRPr="007C4A04" w:rsidTr="00F10107">
        <w:trPr>
          <w:trHeight w:val="561"/>
          <w:jc w:val="center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60%-80%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0.9-1.0</w:t>
            </w:r>
          </w:p>
        </w:tc>
      </w:tr>
      <w:tr w:rsidR="00F11139" w:rsidRPr="007C4A04" w:rsidTr="00F10107">
        <w:trPr>
          <w:trHeight w:val="561"/>
          <w:jc w:val="center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60%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1.0-1.3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九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企业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上年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安全生产标准化考评</w:t>
      </w:r>
      <w:bookmarkEnd w:id="2"/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结果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调整系数</w:t>
      </w:r>
    </w:p>
    <w:tbl>
      <w:tblPr>
        <w:tblW w:w="0" w:type="auto"/>
        <w:jc w:val="center"/>
        <w:tblLayout w:type="fixed"/>
        <w:tblLook w:val="0000"/>
      </w:tblPr>
      <w:tblGrid>
        <w:gridCol w:w="5272"/>
        <w:gridCol w:w="2790"/>
      </w:tblGrid>
      <w:tr w:rsidR="00F11139" w:rsidRPr="007C4A04" w:rsidTr="00F10107">
        <w:trPr>
          <w:trHeight w:val="500"/>
          <w:jc w:val="center"/>
        </w:trPr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企业上年安全生产标准化考评结果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500"/>
          <w:jc w:val="center"/>
        </w:trPr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优良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</w:t>
            </w:r>
          </w:p>
        </w:tc>
      </w:tr>
      <w:tr w:rsidR="00F11139" w:rsidRPr="007C4A04" w:rsidTr="00F10107">
        <w:trPr>
          <w:trHeight w:val="500"/>
          <w:jc w:val="center"/>
        </w:trPr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合格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</w:t>
            </w:r>
          </w:p>
        </w:tc>
      </w:tr>
      <w:tr w:rsidR="00F11139" w:rsidRPr="007C4A04" w:rsidTr="00F10107">
        <w:trPr>
          <w:trHeight w:val="500"/>
          <w:jc w:val="center"/>
        </w:trPr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不合格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1.1</w:t>
            </w:r>
          </w:p>
        </w:tc>
      </w:tr>
    </w:tbl>
    <w:p w:rsidR="00F11139" w:rsidRPr="00C226D8" w:rsidRDefault="00F11139" w:rsidP="00F11139">
      <w:pPr>
        <w:rPr>
          <w:rFonts w:ascii="仿宋" w:eastAsia="仿宋" w:hAnsi="仿宋" w:cs="Arial"/>
          <w:color w:val="000000"/>
          <w:sz w:val="24"/>
        </w:rPr>
      </w:pPr>
      <w:r w:rsidRPr="00C226D8">
        <w:rPr>
          <w:rFonts w:ascii="仿宋" w:eastAsia="仿宋" w:hAnsi="仿宋" w:cs="Arial"/>
          <w:color w:val="000000"/>
          <w:sz w:val="24"/>
        </w:rPr>
        <w:t>注：</w:t>
      </w:r>
      <w:proofErr w:type="gramStart"/>
      <w:r w:rsidRPr="00C226D8">
        <w:rPr>
          <w:rFonts w:ascii="仿宋" w:eastAsia="仿宋" w:hAnsi="仿宋" w:cs="Arial" w:hint="eastAsia"/>
          <w:color w:val="000000"/>
          <w:sz w:val="24"/>
        </w:rPr>
        <w:t>上年</w:t>
      </w:r>
      <w:r w:rsidRPr="00C226D8">
        <w:rPr>
          <w:rFonts w:ascii="仿宋" w:eastAsia="仿宋" w:hAnsi="仿宋" w:cs="Arial"/>
          <w:color w:val="000000"/>
          <w:sz w:val="24"/>
        </w:rPr>
        <w:t>企业</w:t>
      </w:r>
      <w:proofErr w:type="gramEnd"/>
      <w:r w:rsidRPr="00C226D8">
        <w:rPr>
          <w:rFonts w:ascii="仿宋" w:eastAsia="仿宋" w:hAnsi="仿宋" w:cs="Arial"/>
          <w:color w:val="000000"/>
          <w:sz w:val="24"/>
        </w:rPr>
        <w:t>安全生产标准化考评</w:t>
      </w:r>
      <w:r w:rsidRPr="00C226D8">
        <w:rPr>
          <w:rFonts w:ascii="仿宋" w:eastAsia="仿宋" w:hAnsi="仿宋" w:cs="Arial" w:hint="eastAsia"/>
          <w:color w:val="000000"/>
          <w:sz w:val="24"/>
        </w:rPr>
        <w:t>结果</w:t>
      </w:r>
      <w:r w:rsidRPr="00C226D8">
        <w:rPr>
          <w:rFonts w:ascii="仿宋" w:eastAsia="仿宋" w:hAnsi="仿宋" w:cs="Arial"/>
          <w:color w:val="000000"/>
          <w:sz w:val="24"/>
        </w:rPr>
        <w:t>以上海市住房和城乡建设委员会相关文件为准。</w:t>
      </w: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十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企业伤亡事故情况调整系数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7"/>
        <w:gridCol w:w="2790"/>
      </w:tblGrid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企业伤亡事故情况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连续三年或以上无伤亡事故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0.7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连续两年无伤亡事故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上一年无伤亡事故或首年投保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上年仅出现人员伤残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1.1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77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上年出现人员死亡</w:t>
            </w:r>
          </w:p>
        </w:tc>
        <w:tc>
          <w:tcPr>
            <w:tcW w:w="2790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1.3</w:t>
            </w:r>
          </w:p>
        </w:tc>
      </w:tr>
    </w:tbl>
    <w:p w:rsidR="00F11139" w:rsidRDefault="00F11139" w:rsidP="00F11139">
      <w:pPr>
        <w:spacing w:line="560" w:lineRule="exact"/>
        <w:ind w:firstLineChars="200" w:firstLine="480"/>
        <w:rPr>
          <w:rFonts w:ascii="仿宋" w:eastAsia="仿宋" w:hAnsi="仿宋" w:cs="Arial" w:hint="eastAsia"/>
          <w:color w:val="000000"/>
          <w:sz w:val="24"/>
          <w:u w:color="000000"/>
        </w:rPr>
      </w:pP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（十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一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</w:t>
      </w:r>
      <w:r w:rsidRPr="00C226D8">
        <w:rPr>
          <w:rFonts w:ascii="仿宋" w:eastAsia="仿宋" w:hAnsi="仿宋" w:cs="Arial"/>
          <w:color w:val="000000"/>
          <w:sz w:val="24"/>
          <w:u w:color="000000"/>
        </w:rPr>
        <w:t>企业上年安全生产管理不良记录及荣誉评价调整系数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1"/>
        <w:gridCol w:w="2767"/>
      </w:tblGrid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企业上年安全生产管理不良记录及荣誉评价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责令停产整顿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1.5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lastRenderedPageBreak/>
              <w:t>限期整改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1.3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监察意见书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1.1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无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</w:t>
            </w:r>
          </w:p>
        </w:tc>
      </w:tr>
      <w:tr w:rsidR="00F11139" w:rsidRPr="007C4A04" w:rsidTr="00F10107">
        <w:trPr>
          <w:trHeight w:val="483"/>
          <w:jc w:val="center"/>
        </w:trPr>
        <w:tc>
          <w:tcPr>
            <w:tcW w:w="5241" w:type="dxa"/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荣誉记录</w:t>
            </w:r>
          </w:p>
        </w:tc>
        <w:tc>
          <w:tcPr>
            <w:tcW w:w="2767" w:type="dxa"/>
            <w:vAlign w:val="center"/>
          </w:tcPr>
          <w:p w:rsidR="00F11139" w:rsidRPr="007C4A04" w:rsidRDefault="00F11139" w:rsidP="00F1010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0.6-0.9</w:t>
            </w:r>
          </w:p>
        </w:tc>
      </w:tr>
    </w:tbl>
    <w:p w:rsidR="00F11139" w:rsidRPr="00C226D8" w:rsidRDefault="00F11139" w:rsidP="00F11139">
      <w:pPr>
        <w:rPr>
          <w:rFonts w:ascii="仿宋" w:eastAsia="仿宋" w:hAnsi="仿宋" w:cs="Arial"/>
          <w:color w:val="000000"/>
          <w:sz w:val="24"/>
        </w:rPr>
      </w:pPr>
      <w:r w:rsidRPr="00C226D8">
        <w:rPr>
          <w:rFonts w:ascii="仿宋" w:eastAsia="仿宋" w:hAnsi="仿宋" w:cs="Arial"/>
          <w:color w:val="000000"/>
          <w:sz w:val="24"/>
        </w:rPr>
        <w:t>注：荣誉记录中可以包含多项荣誉，以国家或上海市公布的信息为准。</w:t>
      </w: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（十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二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）组合保险调整系数</w:t>
      </w: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当该险种与其它业务同时承保，降低初始费用或保险风险时，可根据费用或风险的降低程度进行风险修正，该调整系数为0.9-1.0。</w:t>
      </w:r>
    </w:p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（十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三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）统保调整系数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5"/>
        <w:gridCol w:w="2857"/>
      </w:tblGrid>
      <w:tr w:rsidR="00F11139" w:rsidRPr="007C4A04" w:rsidTr="00F10107">
        <w:trPr>
          <w:trHeight w:val="42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统保情况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5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上海市统保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</w:t>
            </w:r>
          </w:p>
        </w:tc>
      </w:tr>
      <w:tr w:rsidR="00F11139" w:rsidRPr="007C4A04" w:rsidTr="00F10107">
        <w:trPr>
          <w:trHeight w:val="42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区统保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0.9-1.0</w:t>
            </w:r>
          </w:p>
        </w:tc>
      </w:tr>
      <w:tr w:rsidR="00F11139" w:rsidRPr="007C4A04" w:rsidTr="00F10107">
        <w:trPr>
          <w:trHeight w:val="45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非统保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</w:t>
            </w:r>
          </w:p>
        </w:tc>
      </w:tr>
    </w:tbl>
    <w:p w:rsidR="00F11139" w:rsidRPr="00C226D8" w:rsidRDefault="00F11139" w:rsidP="00F11139">
      <w:pPr>
        <w:spacing w:line="560" w:lineRule="exact"/>
        <w:ind w:firstLineChars="200" w:firstLine="480"/>
        <w:rPr>
          <w:rFonts w:ascii="仿宋" w:eastAsia="仿宋" w:hAnsi="仿宋" w:cs="Arial"/>
          <w:color w:val="000000"/>
          <w:sz w:val="24"/>
          <w:u w:color="000000"/>
        </w:rPr>
      </w:pP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（十</w:t>
      </w:r>
      <w:r>
        <w:rPr>
          <w:rFonts w:ascii="仿宋" w:eastAsia="仿宋" w:hAnsi="仿宋" w:cs="Arial" w:hint="eastAsia"/>
          <w:color w:val="000000"/>
          <w:sz w:val="24"/>
          <w:u w:color="000000"/>
        </w:rPr>
        <w:t>四</w:t>
      </w:r>
      <w:r w:rsidRPr="00C226D8">
        <w:rPr>
          <w:rFonts w:ascii="仿宋" w:eastAsia="仿宋" w:hAnsi="仿宋" w:cs="Arial" w:hint="eastAsia"/>
          <w:color w:val="000000"/>
          <w:sz w:val="24"/>
          <w:u w:color="000000"/>
        </w:rPr>
        <w:t>）经验/预期赔付率调整系数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2851"/>
      </w:tblGrid>
      <w:tr w:rsidR="00F11139" w:rsidRPr="007C4A04" w:rsidTr="00F10107">
        <w:trPr>
          <w:trHeight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经验</w:t>
            </w:r>
            <w:r w:rsidRPr="007C4A04">
              <w:rPr>
                <w:rFonts w:eastAsia="仿宋"/>
                <w:color w:val="000000"/>
                <w:sz w:val="24"/>
              </w:rPr>
              <w:t>/</w:t>
            </w:r>
            <w:r w:rsidRPr="007C4A04">
              <w:rPr>
                <w:rFonts w:eastAsia="仿宋"/>
                <w:color w:val="000000"/>
                <w:sz w:val="24"/>
              </w:rPr>
              <w:t>预期赔付率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调整系数</w:t>
            </w:r>
          </w:p>
        </w:tc>
      </w:tr>
      <w:tr w:rsidR="00F11139" w:rsidRPr="007C4A04" w:rsidTr="00F10107">
        <w:trPr>
          <w:trHeight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10%</w:t>
            </w:r>
            <w:r w:rsidRPr="007C4A04">
              <w:rPr>
                <w:rFonts w:eastAsia="仿宋"/>
                <w:color w:val="000000"/>
                <w:sz w:val="24"/>
              </w:rPr>
              <w:t>及以下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0.40-0.50</w:t>
            </w:r>
          </w:p>
        </w:tc>
      </w:tr>
      <w:tr w:rsidR="00F11139" w:rsidRPr="007C4A04" w:rsidTr="00F10107">
        <w:trPr>
          <w:trHeight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10%-20%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0.50-0.65</w:t>
            </w:r>
          </w:p>
        </w:tc>
      </w:tr>
      <w:tr w:rsidR="00F11139" w:rsidRPr="007C4A04" w:rsidTr="00F10107">
        <w:trPr>
          <w:trHeight w:val="45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20%-40%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0.65-0.80</w:t>
            </w:r>
          </w:p>
        </w:tc>
      </w:tr>
      <w:tr w:rsidR="00F11139" w:rsidRPr="007C4A04" w:rsidTr="00F10107">
        <w:trPr>
          <w:trHeight w:val="45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40%-60%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0.80-1.00</w:t>
            </w:r>
          </w:p>
        </w:tc>
      </w:tr>
      <w:tr w:rsidR="00F11139" w:rsidRPr="007C4A04" w:rsidTr="00F10107">
        <w:trPr>
          <w:trHeight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60%-80%</w:t>
            </w:r>
            <w:r w:rsidRPr="007C4A04">
              <w:rPr>
                <w:rFonts w:eastAsia="仿宋"/>
                <w:color w:val="000000"/>
                <w:sz w:val="24"/>
              </w:rPr>
              <w:t>（含）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1.00-1.40</w:t>
            </w:r>
          </w:p>
        </w:tc>
      </w:tr>
      <w:tr w:rsidR="00F11139" w:rsidRPr="007C4A04" w:rsidTr="00F10107">
        <w:trPr>
          <w:trHeight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80%</w:t>
            </w:r>
            <w:r w:rsidRPr="007C4A04">
              <w:rPr>
                <w:rFonts w:eastAsia="仿宋"/>
                <w:color w:val="000000"/>
                <w:sz w:val="24"/>
              </w:rPr>
              <w:t>以上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9" w:rsidRPr="007C4A04" w:rsidRDefault="00F11139" w:rsidP="00F10107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7C4A04">
              <w:rPr>
                <w:rFonts w:eastAsia="仿宋"/>
                <w:color w:val="000000"/>
                <w:sz w:val="24"/>
              </w:rPr>
              <w:t>1.40-3.00</w:t>
            </w:r>
          </w:p>
        </w:tc>
      </w:tr>
    </w:tbl>
    <w:p w:rsidR="00F11139" w:rsidRPr="00C226D8" w:rsidRDefault="00F11139" w:rsidP="00F11139">
      <w:pPr>
        <w:pStyle w:val="a3"/>
        <w:spacing w:line="560" w:lineRule="exact"/>
        <w:ind w:firstLineChars="200" w:firstLine="482"/>
        <w:rPr>
          <w:rFonts w:ascii="仿宋" w:eastAsia="仿宋" w:hAnsi="仿宋" w:cs="Arial"/>
          <w:b/>
          <w:bCs/>
          <w:sz w:val="24"/>
          <w:szCs w:val="24"/>
        </w:rPr>
      </w:pPr>
      <w:r w:rsidRPr="00C226D8">
        <w:rPr>
          <w:rFonts w:ascii="仿宋" w:eastAsia="仿宋" w:hAnsi="仿宋" w:cs="Arial" w:hint="eastAsia"/>
          <w:b/>
          <w:bCs/>
          <w:sz w:val="24"/>
          <w:szCs w:val="24"/>
          <w:lang w:eastAsia="zh-CN"/>
        </w:rPr>
        <w:t>三</w:t>
      </w:r>
      <w:r w:rsidRPr="00C226D8">
        <w:rPr>
          <w:rFonts w:ascii="仿宋" w:eastAsia="仿宋" w:hAnsi="仿宋" w:cs="Arial"/>
          <w:b/>
          <w:bCs/>
          <w:sz w:val="24"/>
          <w:szCs w:val="24"/>
        </w:rPr>
        <w:t>、保险费计算公式</w:t>
      </w:r>
    </w:p>
    <w:p w:rsidR="00F11139" w:rsidRPr="00C226D8" w:rsidRDefault="00F11139" w:rsidP="00F11139">
      <w:pPr>
        <w:rPr>
          <w:rFonts w:ascii="仿宋" w:eastAsia="仿宋" w:hAnsi="仿宋"/>
          <w:sz w:val="24"/>
        </w:rPr>
      </w:pPr>
      <w:r w:rsidRPr="00C226D8">
        <w:rPr>
          <w:rFonts w:ascii="仿宋" w:eastAsia="仿宋" w:hAnsi="仿宋" w:cs="Arial"/>
          <w:sz w:val="24"/>
        </w:rPr>
        <w:t>保险费=</w:t>
      </w:r>
      <w:r w:rsidRPr="00C226D8">
        <w:rPr>
          <w:rFonts w:ascii="仿宋" w:eastAsia="仿宋" w:hAnsi="仿宋" w:cs="Arial" w:hint="eastAsia"/>
          <w:sz w:val="24"/>
        </w:rPr>
        <w:t>工程</w:t>
      </w:r>
      <w:r w:rsidRPr="00C226D8">
        <w:rPr>
          <w:rFonts w:ascii="仿宋" w:eastAsia="仿宋" w:hAnsi="仿宋" w:cs="Arial"/>
          <w:sz w:val="24"/>
        </w:rPr>
        <w:t>造价×基准费率×</w:t>
      </w:r>
      <w:r w:rsidRPr="00C226D8">
        <w:rPr>
          <w:rFonts w:ascii="仿宋" w:eastAsia="仿宋" w:hAnsi="仿宋" w:cs="Arial" w:hint="eastAsia"/>
          <w:sz w:val="24"/>
        </w:rPr>
        <w:t>费率</w:t>
      </w:r>
      <w:r w:rsidRPr="00C226D8">
        <w:rPr>
          <w:rFonts w:ascii="仿宋" w:eastAsia="仿宋" w:hAnsi="仿宋" w:cs="Arial"/>
          <w:sz w:val="24"/>
        </w:rPr>
        <w:t>调整系数</w:t>
      </w:r>
    </w:p>
    <w:p w:rsidR="00425672" w:rsidRPr="00F11139" w:rsidRDefault="00425672"/>
    <w:sectPr w:rsidR="00425672" w:rsidRPr="00F11139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139"/>
    <w:rsid w:val="0016441E"/>
    <w:rsid w:val="00425672"/>
    <w:rsid w:val="00F1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39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qFormat/>
    <w:rsid w:val="00F11139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kern w:val="0"/>
      <w:sz w:val="22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2020-11-11T07:07:00Z</dcterms:created>
  <dcterms:modified xsi:type="dcterms:W3CDTF">2020-11-11T07:08:00Z</dcterms:modified>
</cp:coreProperties>
</file>